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99" w:rsidRDefault="00C05E5C" w:rsidP="002C456A">
                            <w:pPr>
                              <w:jc w:val="center"/>
                              <w:rPr>
                                <w:rFonts w:ascii="Calibri" w:hAnsi="Calibri"/>
                                <w:color w:val="FFFFFF" w:themeColor="background1"/>
                                <w:sz w:val="72"/>
                              </w:rPr>
                            </w:pPr>
                            <w:r>
                              <w:rPr>
                                <w:rFonts w:ascii="Calibri" w:hAnsi="Calibri"/>
                                <w:color w:val="FFFFFF" w:themeColor="background1"/>
                                <w:sz w:val="72"/>
                              </w:rPr>
                              <w:t>Facility Assessment:</w:t>
                            </w:r>
                          </w:p>
                          <w:p w:rsidR="00C05E5C" w:rsidRPr="00301AA8" w:rsidRDefault="009744B5" w:rsidP="002C456A">
                            <w:pPr>
                              <w:jc w:val="center"/>
                              <w:rPr>
                                <w:rFonts w:ascii="Calibri" w:hAnsi="Calibri"/>
                                <w:color w:val="FFFFFF" w:themeColor="background1"/>
                                <w:sz w:val="72"/>
                                <w14:textFill>
                                  <w14:noFill/>
                                </w14:textFill>
                              </w:rPr>
                            </w:pPr>
                            <w:r>
                              <w:rPr>
                                <w:rFonts w:ascii="Calibri" w:hAnsi="Calibri"/>
                                <w:color w:val="FFFFFF" w:themeColor="background1"/>
                                <w:sz w:val="72"/>
                              </w:rPr>
                              <w:t>Facility and Community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157499" w:rsidRDefault="00C05E5C" w:rsidP="002C456A">
                      <w:pPr>
                        <w:jc w:val="center"/>
                        <w:rPr>
                          <w:rFonts w:ascii="Calibri" w:hAnsi="Calibri"/>
                          <w:color w:val="FFFFFF" w:themeColor="background1"/>
                          <w:sz w:val="72"/>
                        </w:rPr>
                      </w:pPr>
                      <w:r>
                        <w:rPr>
                          <w:rFonts w:ascii="Calibri" w:hAnsi="Calibri"/>
                          <w:color w:val="FFFFFF" w:themeColor="background1"/>
                          <w:sz w:val="72"/>
                        </w:rPr>
                        <w:t>Facility Assessment:</w:t>
                      </w:r>
                    </w:p>
                    <w:p w:rsidR="00C05E5C" w:rsidRPr="00301AA8" w:rsidRDefault="009744B5" w:rsidP="002C456A">
                      <w:pPr>
                        <w:jc w:val="center"/>
                        <w:rPr>
                          <w:rFonts w:ascii="Calibri" w:hAnsi="Calibri"/>
                          <w:color w:val="FFFFFF" w:themeColor="background1"/>
                          <w:sz w:val="72"/>
                          <w14:textFill>
                            <w14:noFill/>
                          </w14:textFill>
                        </w:rPr>
                      </w:pPr>
                      <w:r>
                        <w:rPr>
                          <w:rFonts w:ascii="Calibri" w:hAnsi="Calibri"/>
                          <w:color w:val="FFFFFF" w:themeColor="background1"/>
                          <w:sz w:val="72"/>
                        </w:rPr>
                        <w:t>Facility and Community Risk</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A770DD" w:rsidRDefault="00A770DD" w:rsidP="00023831">
      <w:pPr>
        <w:jc w:val="center"/>
        <w:rPr>
          <w:rFonts w:asciiTheme="minorHAnsi" w:hAnsiTheme="minorHAnsi"/>
          <w:b/>
          <w:sz w:val="32"/>
          <w:szCs w:val="32"/>
        </w:rPr>
      </w:pPr>
    </w:p>
    <w:p w:rsidR="00023831" w:rsidRDefault="007E47DC" w:rsidP="00023831">
      <w:pPr>
        <w:jc w:val="center"/>
        <w:rPr>
          <w:rFonts w:asciiTheme="minorHAnsi" w:hAnsiTheme="minorHAnsi"/>
          <w:b/>
          <w:sz w:val="32"/>
          <w:szCs w:val="32"/>
        </w:rPr>
      </w:pPr>
      <w:r>
        <w:rPr>
          <w:rFonts w:asciiTheme="minorHAnsi" w:hAnsiTheme="minorHAnsi"/>
          <w:b/>
          <w:sz w:val="32"/>
          <w:szCs w:val="32"/>
        </w:rPr>
        <w:t>Facility Assessment</w:t>
      </w:r>
      <w:r w:rsidR="00C05E5C">
        <w:rPr>
          <w:rFonts w:asciiTheme="minorHAnsi" w:hAnsiTheme="minorHAnsi"/>
          <w:b/>
          <w:sz w:val="32"/>
          <w:szCs w:val="32"/>
        </w:rPr>
        <w:t xml:space="preserve">: </w:t>
      </w:r>
      <w:r w:rsidR="000E56A6">
        <w:rPr>
          <w:rFonts w:asciiTheme="minorHAnsi" w:hAnsiTheme="minorHAnsi"/>
          <w:b/>
          <w:sz w:val="32"/>
          <w:szCs w:val="32"/>
        </w:rPr>
        <w:t xml:space="preserve">Facility-Based and Community-Based Risk Assessment </w:t>
      </w:r>
      <w:r w:rsidR="00C05E5C">
        <w:rPr>
          <w:rFonts w:asciiTheme="minorHAnsi" w:hAnsiTheme="minorHAnsi"/>
          <w:b/>
          <w:sz w:val="32"/>
          <w:szCs w:val="32"/>
        </w:rPr>
        <w:t xml:space="preserve"> </w:t>
      </w:r>
      <w:r>
        <w:rPr>
          <w:rFonts w:asciiTheme="minorHAnsi" w:hAnsiTheme="minorHAnsi"/>
          <w:b/>
          <w:sz w:val="32"/>
          <w:szCs w:val="32"/>
        </w:rPr>
        <w:t xml:space="preserve">  </w:t>
      </w:r>
    </w:p>
    <w:p w:rsidR="00A770DD" w:rsidRPr="00A770DD" w:rsidRDefault="00A770DD" w:rsidP="00023831">
      <w:pPr>
        <w:jc w:val="center"/>
        <w:rPr>
          <w:rFonts w:asciiTheme="minorHAnsi" w:hAnsiTheme="minorHAnsi"/>
          <w:b/>
          <w:sz w:val="32"/>
          <w:szCs w:val="32"/>
        </w:rPr>
      </w:pPr>
    </w:p>
    <w:p w:rsidR="00C05E5C" w:rsidRDefault="00C05E5C" w:rsidP="007F1686">
      <w:pPr>
        <w:autoSpaceDE w:val="0"/>
        <w:autoSpaceDN w:val="0"/>
        <w:adjustRightInd w:val="0"/>
        <w:spacing w:line="276" w:lineRule="atLeast"/>
        <w:rPr>
          <w:rFonts w:asciiTheme="minorHAnsi" w:eastAsiaTheme="minorHAnsi" w:hAnsiTheme="minorHAnsi"/>
          <w:b/>
          <w:bCs/>
          <w:color w:val="000000"/>
          <w:szCs w:val="24"/>
        </w:rPr>
      </w:pPr>
      <w:r>
        <w:rPr>
          <w:rFonts w:asciiTheme="minorHAnsi" w:eastAsiaTheme="minorHAnsi" w:hAnsiTheme="minorHAnsi"/>
          <w:b/>
          <w:bCs/>
          <w:color w:val="000000"/>
          <w:szCs w:val="24"/>
        </w:rPr>
        <w:t>Reference</w:t>
      </w:r>
      <w:r w:rsidR="00D51CF4">
        <w:rPr>
          <w:rFonts w:asciiTheme="minorHAnsi" w:eastAsiaTheme="minorHAnsi" w:hAnsiTheme="minorHAnsi"/>
          <w:b/>
          <w:bCs/>
          <w:color w:val="000000"/>
          <w:szCs w:val="24"/>
        </w:rPr>
        <w:t xml:space="preserve"> F Tags </w:t>
      </w:r>
    </w:p>
    <w:p w:rsidR="00D51CF4" w:rsidRDefault="00D51CF4" w:rsidP="00D51CF4">
      <w:pPr>
        <w:pStyle w:val="Default"/>
        <w:rPr>
          <w:rFonts w:asciiTheme="minorHAnsi" w:eastAsiaTheme="minorHAnsi" w:hAnsiTheme="minorHAnsi"/>
          <w:b/>
          <w:bCs/>
        </w:rPr>
      </w:pPr>
    </w:p>
    <w:p w:rsidR="00D51CF4" w:rsidRDefault="00C05E5C" w:rsidP="000E56A6">
      <w:pPr>
        <w:autoSpaceDE w:val="0"/>
        <w:autoSpaceDN w:val="0"/>
        <w:adjustRightInd w:val="0"/>
        <w:spacing w:line="276" w:lineRule="atLeast"/>
        <w:rPr>
          <w:rFonts w:asciiTheme="minorHAnsi" w:hAnsiTheme="minorHAnsi"/>
          <w:iCs/>
          <w:szCs w:val="24"/>
        </w:rPr>
      </w:pPr>
      <w:r w:rsidRPr="001E4A02">
        <w:rPr>
          <w:rFonts w:asciiTheme="minorHAnsi" w:hAnsiTheme="minorHAnsi"/>
          <w:b/>
          <w:szCs w:val="24"/>
        </w:rPr>
        <w:t xml:space="preserve">F838 </w:t>
      </w:r>
      <w:r w:rsidR="000E56A6">
        <w:rPr>
          <w:rFonts w:asciiTheme="minorHAnsi" w:hAnsiTheme="minorHAnsi"/>
          <w:b/>
          <w:szCs w:val="24"/>
        </w:rPr>
        <w:t xml:space="preserve">   </w:t>
      </w:r>
      <w:r w:rsidRPr="001E4A02">
        <w:rPr>
          <w:rFonts w:asciiTheme="minorHAnsi" w:hAnsiTheme="minorHAnsi"/>
          <w:b/>
          <w:iCs/>
          <w:szCs w:val="24"/>
        </w:rPr>
        <w:t>§483.70(e)</w:t>
      </w:r>
      <w:r w:rsidRPr="001E4A02">
        <w:rPr>
          <w:rFonts w:asciiTheme="minorHAnsi" w:hAnsiTheme="minorHAnsi"/>
          <w:iCs/>
          <w:szCs w:val="24"/>
        </w:rPr>
        <w:t xml:space="preserve"> Facility assessment </w:t>
      </w:r>
    </w:p>
    <w:p w:rsidR="000E56A6" w:rsidRPr="000E56A6" w:rsidRDefault="000E56A6" w:rsidP="000E56A6">
      <w:pPr>
        <w:autoSpaceDE w:val="0"/>
        <w:autoSpaceDN w:val="0"/>
        <w:adjustRightInd w:val="0"/>
        <w:spacing w:line="276" w:lineRule="atLeast"/>
        <w:ind w:left="720"/>
        <w:rPr>
          <w:rFonts w:asciiTheme="minorHAnsi" w:hAnsiTheme="minorHAnsi"/>
          <w:iCs/>
          <w:szCs w:val="24"/>
        </w:rPr>
      </w:pPr>
      <w:r w:rsidRPr="000E56A6">
        <w:rPr>
          <w:rFonts w:asciiTheme="minorHAnsi" w:hAnsiTheme="minorHAnsi"/>
          <w:bCs/>
          <w:iCs/>
          <w:szCs w:val="24"/>
        </w:rPr>
        <w:t>§483.70(e)(3) A facility-based and community-based risk assessment, utilizing an all-hazards approach.</w:t>
      </w:r>
    </w:p>
    <w:p w:rsidR="000E56A6" w:rsidRDefault="000E56A6" w:rsidP="000E56A6">
      <w:pPr>
        <w:autoSpaceDE w:val="0"/>
        <w:autoSpaceDN w:val="0"/>
        <w:adjustRightInd w:val="0"/>
        <w:spacing w:line="276" w:lineRule="atLeast"/>
        <w:ind w:left="720"/>
        <w:rPr>
          <w:rFonts w:asciiTheme="minorHAnsi" w:hAnsiTheme="minorHAnsi"/>
          <w:iCs/>
          <w:szCs w:val="24"/>
        </w:rPr>
      </w:pPr>
    </w:p>
    <w:p w:rsidR="000E56A6" w:rsidRPr="000E56A6" w:rsidRDefault="000E56A6" w:rsidP="000E56A6">
      <w:pPr>
        <w:autoSpaceDE w:val="0"/>
        <w:autoSpaceDN w:val="0"/>
        <w:adjustRightInd w:val="0"/>
        <w:spacing w:line="276" w:lineRule="atLeast"/>
        <w:ind w:left="720"/>
        <w:rPr>
          <w:rFonts w:asciiTheme="minorHAnsi" w:hAnsiTheme="minorHAnsi"/>
          <w:b/>
          <w:iCs/>
          <w:szCs w:val="24"/>
        </w:rPr>
      </w:pPr>
      <w:r w:rsidRPr="000E56A6">
        <w:rPr>
          <w:rFonts w:asciiTheme="minorHAnsi" w:hAnsiTheme="minorHAnsi"/>
          <w:b/>
          <w:iCs/>
          <w:szCs w:val="24"/>
        </w:rPr>
        <w:t>Guidance</w:t>
      </w:r>
    </w:p>
    <w:p w:rsidR="000E56A6" w:rsidRDefault="000E56A6" w:rsidP="000E56A6">
      <w:pPr>
        <w:autoSpaceDE w:val="0"/>
        <w:autoSpaceDN w:val="0"/>
        <w:adjustRightInd w:val="0"/>
        <w:ind w:left="720"/>
        <w:rPr>
          <w:rFonts w:asciiTheme="minorHAnsi" w:eastAsiaTheme="minorHAnsi" w:hAnsiTheme="minorHAnsi"/>
          <w:iCs/>
          <w:color w:val="000000"/>
          <w:szCs w:val="24"/>
        </w:rPr>
      </w:pPr>
      <w:r w:rsidRPr="000E56A6">
        <w:rPr>
          <w:rFonts w:asciiTheme="minorHAnsi" w:eastAsiaTheme="minorHAnsi" w:hAnsiTheme="minorHAnsi"/>
          <w:iCs/>
          <w:color w:val="000000"/>
          <w:szCs w:val="24"/>
        </w:rPr>
        <w:t xml:space="preserve">The facility based and community-based risk assessment, utilizing an all-hazards approach must evaluate the facility’s ability to maintain continuity of operations and its ability to secure required supplies and resources during an emergency or natural disaster. </w:t>
      </w:r>
    </w:p>
    <w:p w:rsidR="000E56A6" w:rsidRDefault="000E56A6" w:rsidP="000E56A6">
      <w:pPr>
        <w:autoSpaceDE w:val="0"/>
        <w:autoSpaceDN w:val="0"/>
        <w:adjustRightInd w:val="0"/>
        <w:ind w:left="1440"/>
        <w:rPr>
          <w:rFonts w:asciiTheme="minorHAnsi" w:eastAsiaTheme="minorHAnsi" w:hAnsiTheme="minorHAnsi"/>
          <w:iCs/>
          <w:color w:val="000000"/>
          <w:szCs w:val="24"/>
        </w:rPr>
      </w:pPr>
      <w:r w:rsidRPr="000E56A6">
        <w:rPr>
          <w:rFonts w:asciiTheme="minorHAnsi" w:eastAsiaTheme="minorHAnsi" w:hAnsiTheme="minorHAnsi"/>
          <w:iCs/>
          <w:color w:val="000000"/>
          <w:szCs w:val="24"/>
        </w:rPr>
        <w:t xml:space="preserve">For example, if the facility is located in a flood zone, the risk assessment must include an evaluation of how residents will be kept safe and needs met during a flood affecting the facility. </w:t>
      </w:r>
    </w:p>
    <w:p w:rsidR="000E56A6" w:rsidRDefault="000E56A6" w:rsidP="000E56A6">
      <w:pPr>
        <w:autoSpaceDE w:val="0"/>
        <w:autoSpaceDN w:val="0"/>
        <w:adjustRightInd w:val="0"/>
        <w:ind w:left="1440"/>
        <w:rPr>
          <w:rFonts w:asciiTheme="minorHAnsi" w:eastAsiaTheme="minorHAnsi" w:hAnsiTheme="minorHAnsi"/>
          <w:iCs/>
          <w:color w:val="000000"/>
          <w:szCs w:val="24"/>
        </w:rPr>
      </w:pPr>
    </w:p>
    <w:p w:rsidR="000E56A6" w:rsidRDefault="000E56A6" w:rsidP="000E56A6">
      <w:pPr>
        <w:autoSpaceDE w:val="0"/>
        <w:autoSpaceDN w:val="0"/>
        <w:adjustRightInd w:val="0"/>
        <w:ind w:left="720"/>
        <w:rPr>
          <w:rFonts w:asciiTheme="minorHAnsi" w:eastAsiaTheme="minorHAnsi" w:hAnsiTheme="minorHAnsi"/>
          <w:iCs/>
          <w:color w:val="000000"/>
          <w:szCs w:val="24"/>
        </w:rPr>
      </w:pPr>
      <w:r w:rsidRPr="000E56A6">
        <w:rPr>
          <w:rFonts w:asciiTheme="minorHAnsi" w:eastAsiaTheme="minorHAnsi" w:hAnsiTheme="minorHAnsi"/>
          <w:iCs/>
          <w:color w:val="000000"/>
          <w:szCs w:val="24"/>
        </w:rPr>
        <w:t xml:space="preserve">Facility staff should consider involving their local/county Office of Emergency Preparedness when conducting this community based risk assessment. The facility’s emergency preparedness plans as required under </w:t>
      </w:r>
      <w:r w:rsidRPr="000E56A6">
        <w:rPr>
          <w:rFonts w:asciiTheme="minorHAnsi" w:eastAsiaTheme="minorHAnsi" w:hAnsiTheme="minorHAnsi"/>
          <w:b/>
          <w:iCs/>
          <w:color w:val="000000"/>
          <w:szCs w:val="24"/>
        </w:rPr>
        <w:t>§483.73</w:t>
      </w:r>
      <w:r w:rsidRPr="000E56A6">
        <w:rPr>
          <w:rFonts w:asciiTheme="minorHAnsi" w:eastAsiaTheme="minorHAnsi" w:hAnsiTheme="minorHAnsi"/>
          <w:iCs/>
          <w:color w:val="000000"/>
          <w:szCs w:val="24"/>
        </w:rPr>
        <w:t xml:space="preserve"> </w:t>
      </w:r>
      <w:r w:rsidR="00AD1280" w:rsidRPr="00AD1280">
        <w:rPr>
          <w:rFonts w:asciiTheme="minorHAnsi" w:eastAsiaTheme="minorHAnsi" w:hAnsiTheme="minorHAnsi"/>
          <w:b/>
          <w:iCs/>
          <w:color w:val="000000"/>
          <w:szCs w:val="24"/>
        </w:rPr>
        <w:t>(Emergency Preparedness)</w:t>
      </w:r>
      <w:r w:rsidR="00AD1280">
        <w:rPr>
          <w:rFonts w:asciiTheme="minorHAnsi" w:eastAsiaTheme="minorHAnsi" w:hAnsiTheme="minorHAnsi"/>
          <w:iCs/>
          <w:color w:val="000000"/>
          <w:szCs w:val="24"/>
        </w:rPr>
        <w:t xml:space="preserve"> </w:t>
      </w:r>
      <w:r w:rsidRPr="000E56A6">
        <w:rPr>
          <w:rFonts w:asciiTheme="minorHAnsi" w:eastAsiaTheme="minorHAnsi" w:hAnsiTheme="minorHAnsi"/>
          <w:iCs/>
          <w:color w:val="000000"/>
          <w:szCs w:val="24"/>
        </w:rPr>
        <w:t xml:space="preserve">should be integrated and compatible with the facility assessment. As one is updated, so should the other. </w:t>
      </w:r>
    </w:p>
    <w:p w:rsidR="002C456A" w:rsidRPr="000E56A6" w:rsidRDefault="002C456A" w:rsidP="000E56A6">
      <w:pPr>
        <w:autoSpaceDE w:val="0"/>
        <w:autoSpaceDN w:val="0"/>
        <w:adjustRightInd w:val="0"/>
        <w:ind w:left="720"/>
        <w:rPr>
          <w:rFonts w:asciiTheme="minorHAnsi" w:eastAsiaTheme="minorHAnsi" w:hAnsiTheme="minorHAnsi"/>
          <w:color w:val="000000"/>
          <w:szCs w:val="24"/>
        </w:rPr>
      </w:pPr>
    </w:p>
    <w:p w:rsidR="000E56A6" w:rsidRDefault="000E56A6" w:rsidP="000E56A6">
      <w:pPr>
        <w:autoSpaceDE w:val="0"/>
        <w:autoSpaceDN w:val="0"/>
        <w:adjustRightInd w:val="0"/>
        <w:ind w:left="720"/>
        <w:rPr>
          <w:rFonts w:asciiTheme="minorHAnsi" w:eastAsiaTheme="minorHAnsi" w:hAnsiTheme="minorHAnsi"/>
          <w:iCs/>
          <w:color w:val="000000"/>
          <w:szCs w:val="24"/>
        </w:rPr>
      </w:pPr>
      <w:r w:rsidRPr="000E56A6">
        <w:rPr>
          <w:rFonts w:asciiTheme="minorHAnsi" w:eastAsiaTheme="minorHAnsi" w:hAnsiTheme="minorHAnsi"/>
          <w:iCs/>
          <w:color w:val="000000"/>
          <w:szCs w:val="24"/>
        </w:rPr>
        <w:t xml:space="preserve">Risk Assessment is general terminology that is within the emergency preparedness regulations and preamble to the Final Rule (81 Fed. Reg. 63860, Sept. 16, 2016) which describes a process facilities are to use to assess and document potential hazards within their areas and the vulnerabilities and challenges which may impact the facility. </w:t>
      </w:r>
    </w:p>
    <w:p w:rsidR="000E56A6" w:rsidRDefault="000E56A6" w:rsidP="000E56A6">
      <w:pPr>
        <w:autoSpaceDE w:val="0"/>
        <w:autoSpaceDN w:val="0"/>
        <w:adjustRightInd w:val="0"/>
        <w:ind w:left="720"/>
        <w:rPr>
          <w:rFonts w:asciiTheme="minorHAnsi" w:eastAsiaTheme="minorHAnsi" w:hAnsiTheme="minorHAnsi"/>
          <w:iCs/>
          <w:color w:val="000000"/>
          <w:szCs w:val="24"/>
        </w:rPr>
      </w:pPr>
    </w:p>
    <w:p w:rsidR="000E56A6" w:rsidRPr="000E56A6" w:rsidRDefault="000E56A6" w:rsidP="000E56A6">
      <w:pPr>
        <w:autoSpaceDE w:val="0"/>
        <w:autoSpaceDN w:val="0"/>
        <w:adjustRightInd w:val="0"/>
        <w:ind w:left="720"/>
        <w:rPr>
          <w:rFonts w:asciiTheme="minorHAnsi" w:eastAsiaTheme="minorHAnsi" w:hAnsiTheme="minorHAnsi"/>
          <w:color w:val="000000"/>
          <w:szCs w:val="24"/>
        </w:rPr>
      </w:pPr>
      <w:r w:rsidRPr="000E56A6">
        <w:rPr>
          <w:rFonts w:asciiTheme="minorHAnsi" w:eastAsiaTheme="minorHAnsi" w:hAnsiTheme="minorHAnsi"/>
          <w:iCs/>
          <w:color w:val="000000"/>
          <w:szCs w:val="24"/>
        </w:rPr>
        <w:t xml:space="preserve">Additional terms currently used by the industry are all-hazards risk assessments, also referred to as Hazard Vulnerability Assessments (HVAs), or all-hazards self-assessments. For the purposes of these guidelines, we are using the term “risk assessment,” which may include a variety of current industry practices used to assess and document potential hazards and their impacts. Hazard Vulnerability Assessments (HVAs) are systematic approaches to identifying hazards or risks that are most likely to have an impact on a healthcare facility and the surrounding community. The HVA describes the process by which a provider or supplier will assess and identify potential gaps in its emergency plan(s). </w:t>
      </w:r>
    </w:p>
    <w:p w:rsidR="000E56A6" w:rsidRPr="000E56A6" w:rsidRDefault="000E56A6" w:rsidP="000E56A6">
      <w:pPr>
        <w:autoSpaceDE w:val="0"/>
        <w:autoSpaceDN w:val="0"/>
        <w:adjustRightInd w:val="0"/>
        <w:ind w:left="720"/>
        <w:rPr>
          <w:rFonts w:asciiTheme="minorHAnsi" w:eastAsiaTheme="minorHAnsi" w:hAnsiTheme="minorHAnsi"/>
          <w:color w:val="000000"/>
          <w:szCs w:val="24"/>
        </w:rPr>
      </w:pPr>
      <w:r w:rsidRPr="000E56A6">
        <w:rPr>
          <w:rFonts w:asciiTheme="minorHAnsi" w:eastAsiaTheme="minorHAnsi" w:hAnsiTheme="minorHAnsi"/>
          <w:iCs/>
          <w:color w:val="000000"/>
          <w:szCs w:val="24"/>
        </w:rPr>
        <w:lastRenderedPageBreak/>
        <w:t>Potential loss scenarios should be identified first during the risk assessment. Once a risk asse</w:t>
      </w:r>
      <w:r>
        <w:rPr>
          <w:rFonts w:asciiTheme="minorHAnsi" w:eastAsiaTheme="minorHAnsi" w:hAnsiTheme="minorHAnsi"/>
          <w:iCs/>
          <w:color w:val="000000"/>
          <w:szCs w:val="24"/>
        </w:rPr>
        <w:t>ssment has been conducted and a</w:t>
      </w:r>
      <w:r w:rsidRPr="000E56A6">
        <w:rPr>
          <w:rFonts w:asciiTheme="minorHAnsi" w:eastAsiaTheme="minorHAnsi" w:hAnsiTheme="minorHAnsi"/>
          <w:iCs/>
          <w:color w:val="000000"/>
          <w:szCs w:val="24"/>
        </w:rPr>
        <w:t xml:space="preserve"> facility has identified the potential hazards/risks they may face, the organization can use those hazards/risks to conduct a Business Impact Analysis. </w:t>
      </w:r>
    </w:p>
    <w:p w:rsidR="000E56A6" w:rsidRDefault="000E56A6" w:rsidP="000E56A6">
      <w:pPr>
        <w:autoSpaceDE w:val="0"/>
        <w:autoSpaceDN w:val="0"/>
        <w:adjustRightInd w:val="0"/>
        <w:spacing w:line="276" w:lineRule="atLeast"/>
        <w:ind w:left="720"/>
        <w:rPr>
          <w:rFonts w:asciiTheme="minorHAnsi" w:eastAsiaTheme="minorHAnsi" w:hAnsiTheme="minorHAnsi"/>
          <w:iCs/>
          <w:color w:val="000000"/>
          <w:szCs w:val="24"/>
        </w:rPr>
      </w:pPr>
    </w:p>
    <w:p w:rsidR="000E56A6" w:rsidRPr="000E56A6" w:rsidRDefault="000E56A6" w:rsidP="000E56A6">
      <w:pPr>
        <w:autoSpaceDE w:val="0"/>
        <w:autoSpaceDN w:val="0"/>
        <w:adjustRightInd w:val="0"/>
        <w:spacing w:line="276" w:lineRule="atLeast"/>
        <w:ind w:left="720"/>
        <w:rPr>
          <w:rFonts w:asciiTheme="minorHAnsi" w:hAnsiTheme="minorHAnsi"/>
          <w:iCs/>
          <w:szCs w:val="24"/>
        </w:rPr>
      </w:pPr>
      <w:r w:rsidRPr="000E56A6">
        <w:rPr>
          <w:rFonts w:asciiTheme="minorHAnsi" w:eastAsiaTheme="minorHAnsi" w:hAnsiTheme="minorHAnsi"/>
          <w:iCs/>
          <w:color w:val="000000"/>
          <w:szCs w:val="24"/>
        </w:rPr>
        <w:t>This guidance is not specifying which type of generally accepted emergency preparedness risk assessment facilities should have, as the language used in defining risk assessment activities is meant to be easily understood by all providers and suppliers that are affected by this final rule and is aligned with the national preparedness system and terminology (81 Fed. Reg. 63860, at 63875). However, facilities are expected to conduct a full assessment of hazards based on geographical location and the individual facility dynamics, such as patient population.</w:t>
      </w:r>
    </w:p>
    <w:p w:rsidR="000E56A6" w:rsidRDefault="000E56A6" w:rsidP="000E56A6">
      <w:pPr>
        <w:autoSpaceDE w:val="0"/>
        <w:autoSpaceDN w:val="0"/>
        <w:adjustRightInd w:val="0"/>
        <w:spacing w:line="276" w:lineRule="atLeast"/>
        <w:rPr>
          <w:rFonts w:asciiTheme="minorHAnsi" w:hAnsiTheme="minorHAnsi"/>
          <w:iCs/>
          <w:szCs w:val="24"/>
        </w:rPr>
      </w:pPr>
    </w:p>
    <w:p w:rsidR="000E56A6" w:rsidRDefault="000E56A6" w:rsidP="000E56A6">
      <w:pPr>
        <w:autoSpaceDE w:val="0"/>
        <w:autoSpaceDN w:val="0"/>
        <w:adjustRightInd w:val="0"/>
        <w:spacing w:line="276" w:lineRule="atLeast"/>
        <w:rPr>
          <w:rFonts w:asciiTheme="minorHAnsi" w:eastAsiaTheme="minorHAnsi" w:hAnsiTheme="minorHAnsi"/>
          <w:b/>
          <w:bCs/>
          <w:color w:val="000000"/>
          <w:szCs w:val="24"/>
        </w:rPr>
      </w:pPr>
    </w:p>
    <w:p w:rsidR="00710990" w:rsidRDefault="00710990" w:rsidP="007F1686">
      <w:pPr>
        <w:autoSpaceDE w:val="0"/>
        <w:autoSpaceDN w:val="0"/>
        <w:adjustRightInd w:val="0"/>
        <w:spacing w:line="276" w:lineRule="atLeast"/>
        <w:rPr>
          <w:rFonts w:asciiTheme="minorHAnsi" w:eastAsiaTheme="minorHAnsi" w:hAnsiTheme="minorHAnsi"/>
          <w:b/>
          <w:bCs/>
          <w:color w:val="000000"/>
          <w:szCs w:val="24"/>
        </w:rPr>
      </w:pPr>
      <w:r>
        <w:rPr>
          <w:rFonts w:asciiTheme="minorHAnsi" w:eastAsiaTheme="minorHAnsi" w:hAnsiTheme="minorHAnsi"/>
          <w:b/>
          <w:bCs/>
          <w:color w:val="000000"/>
          <w:szCs w:val="24"/>
        </w:rPr>
        <w:t xml:space="preserve">INTENT OF THE </w:t>
      </w:r>
      <w:r w:rsidR="000E56A6">
        <w:rPr>
          <w:rFonts w:asciiTheme="minorHAnsi" w:eastAsiaTheme="minorHAnsi" w:hAnsiTheme="minorHAnsi"/>
          <w:b/>
          <w:bCs/>
          <w:color w:val="000000"/>
          <w:szCs w:val="24"/>
        </w:rPr>
        <w:t xml:space="preserve">FACILITY-BASED AND COMMUNITY BASED-RISK ASSESSMENT </w:t>
      </w:r>
    </w:p>
    <w:p w:rsidR="00710990" w:rsidRDefault="00710990" w:rsidP="00710990">
      <w:pPr>
        <w:autoSpaceDE w:val="0"/>
        <w:autoSpaceDN w:val="0"/>
        <w:adjustRightInd w:val="0"/>
        <w:rPr>
          <w:rFonts w:asciiTheme="minorHAnsi" w:eastAsiaTheme="minorHAnsi" w:hAnsiTheme="minorHAnsi"/>
          <w:color w:val="000000"/>
          <w:szCs w:val="24"/>
        </w:rPr>
      </w:pPr>
    </w:p>
    <w:p w:rsidR="000E56A6" w:rsidRDefault="002F5D22" w:rsidP="007F1686">
      <w:pPr>
        <w:autoSpaceDE w:val="0"/>
        <w:autoSpaceDN w:val="0"/>
        <w:adjustRightInd w:val="0"/>
        <w:spacing w:line="276" w:lineRule="atLeast"/>
        <w:rPr>
          <w:rFonts w:asciiTheme="minorHAnsi" w:eastAsiaTheme="minorHAnsi" w:hAnsiTheme="minorHAnsi"/>
          <w:bCs/>
          <w:color w:val="000000"/>
          <w:szCs w:val="24"/>
        </w:rPr>
      </w:pPr>
      <w:r>
        <w:rPr>
          <w:rFonts w:asciiTheme="minorHAnsi" w:eastAsiaTheme="minorHAnsi" w:hAnsiTheme="minorHAnsi"/>
          <w:bCs/>
          <w:color w:val="000000"/>
          <w:szCs w:val="24"/>
        </w:rPr>
        <w:t>The intent of the all hazards</w:t>
      </w:r>
      <w:r w:rsidR="00880BE2">
        <w:rPr>
          <w:rFonts w:asciiTheme="minorHAnsi" w:eastAsiaTheme="minorHAnsi" w:hAnsiTheme="minorHAnsi"/>
          <w:bCs/>
          <w:color w:val="000000"/>
          <w:szCs w:val="24"/>
        </w:rPr>
        <w:t xml:space="preserve"> approach to assessing risk</w:t>
      </w:r>
      <w:r>
        <w:rPr>
          <w:rFonts w:asciiTheme="minorHAnsi" w:eastAsiaTheme="minorHAnsi" w:hAnsiTheme="minorHAnsi"/>
          <w:bCs/>
          <w:color w:val="000000"/>
          <w:szCs w:val="24"/>
        </w:rPr>
        <w:t xml:space="preserve">, Facility-Based and Community-Based Risk Assessment is to assess and document potential hazards within the geographic area of the facility, the facility physical plant and the vulnerabilities and challenges that may impact the facility.  </w:t>
      </w:r>
      <w:r w:rsidR="00880BE2">
        <w:rPr>
          <w:rFonts w:asciiTheme="minorHAnsi" w:eastAsiaTheme="minorHAnsi" w:hAnsiTheme="minorHAnsi"/>
          <w:bCs/>
          <w:color w:val="000000"/>
          <w:szCs w:val="24"/>
        </w:rPr>
        <w:t xml:space="preserve">The risk assessment will evaluate the facility’s ability to maintain continuity of operations, its ability to provide care and services, and its ability to secure required supplies and resources during an emergency or natural disaster.  </w:t>
      </w:r>
      <w:r>
        <w:rPr>
          <w:rFonts w:asciiTheme="minorHAnsi" w:eastAsiaTheme="minorHAnsi" w:hAnsiTheme="minorHAnsi"/>
          <w:bCs/>
          <w:color w:val="000000"/>
          <w:szCs w:val="24"/>
        </w:rPr>
        <w:t xml:space="preserve">Based upon these assessments, the facility will identify hazards and risks for residents and that information shall be incorporated into the Facility Assessment and Emergency Preparedness Plan.  </w:t>
      </w:r>
    </w:p>
    <w:p w:rsidR="000E56A6" w:rsidRDefault="000E56A6" w:rsidP="007F1686">
      <w:pPr>
        <w:autoSpaceDE w:val="0"/>
        <w:autoSpaceDN w:val="0"/>
        <w:adjustRightInd w:val="0"/>
        <w:spacing w:line="276" w:lineRule="atLeast"/>
        <w:rPr>
          <w:rFonts w:asciiTheme="minorHAnsi" w:eastAsiaTheme="minorHAnsi" w:hAnsiTheme="minorHAnsi"/>
          <w:bCs/>
          <w:color w:val="000000"/>
          <w:szCs w:val="24"/>
        </w:rPr>
      </w:pPr>
    </w:p>
    <w:p w:rsidR="00880BE2" w:rsidRDefault="00880BE2" w:rsidP="007F1686">
      <w:pPr>
        <w:autoSpaceDE w:val="0"/>
        <w:autoSpaceDN w:val="0"/>
        <w:adjustRightInd w:val="0"/>
        <w:spacing w:line="276" w:lineRule="atLeast"/>
        <w:rPr>
          <w:rFonts w:asciiTheme="minorHAnsi" w:eastAsiaTheme="minorHAnsi" w:hAnsiTheme="minorHAnsi"/>
          <w:b/>
          <w:bCs/>
          <w:color w:val="000000"/>
          <w:szCs w:val="24"/>
        </w:rPr>
      </w:pPr>
      <w:r>
        <w:rPr>
          <w:rFonts w:asciiTheme="minorHAnsi" w:eastAsiaTheme="minorHAnsi" w:hAnsiTheme="minorHAnsi"/>
          <w:b/>
          <w:bCs/>
          <w:color w:val="000000"/>
          <w:szCs w:val="24"/>
        </w:rPr>
        <w:t>CMS DEFINITIONS</w:t>
      </w:r>
    </w:p>
    <w:p w:rsidR="00880BE2" w:rsidRPr="00880BE2" w:rsidRDefault="00880BE2" w:rsidP="007F1686">
      <w:pPr>
        <w:autoSpaceDE w:val="0"/>
        <w:autoSpaceDN w:val="0"/>
        <w:adjustRightInd w:val="0"/>
        <w:spacing w:line="276" w:lineRule="atLeast"/>
        <w:rPr>
          <w:rFonts w:asciiTheme="minorHAnsi" w:eastAsiaTheme="minorHAnsi" w:hAnsiTheme="minorHAnsi"/>
          <w:b/>
          <w:bCs/>
          <w:color w:val="000000"/>
          <w:szCs w:val="24"/>
        </w:rPr>
      </w:pPr>
    </w:p>
    <w:p w:rsidR="00880BE2" w:rsidRPr="00880BE2" w:rsidRDefault="00880BE2" w:rsidP="00880BE2">
      <w:pPr>
        <w:pStyle w:val="NoSpacing"/>
        <w:rPr>
          <w:sz w:val="24"/>
          <w:szCs w:val="24"/>
        </w:rPr>
      </w:pPr>
      <w:r w:rsidRPr="00880BE2">
        <w:rPr>
          <w:sz w:val="24"/>
          <w:szCs w:val="24"/>
        </w:rPr>
        <w:t xml:space="preserve">CMS’ Emergency Preparedness Appendix Z regulations contain specific terminology for which many providers requested clarification.  The following definitions are contained in a Frequently Asked Questions (FAQs) document which can be downloaded from </w:t>
      </w:r>
      <w:hyperlink r:id="rId8" w:history="1">
        <w:r w:rsidRPr="00880BE2">
          <w:rPr>
            <w:rStyle w:val="Hyperlink"/>
          </w:rPr>
          <w:t>https://www.cms.gov/Medicare/Provider-Enrollment-and-Certification/SurveyCertEmergPrep/Emergency-Prep-Rule.html</w:t>
        </w:r>
      </w:hyperlink>
      <w:r w:rsidRPr="00880BE2">
        <w:t>.</w:t>
      </w:r>
    </w:p>
    <w:p w:rsidR="00880BE2" w:rsidRPr="00880BE2" w:rsidRDefault="00880BE2" w:rsidP="00880BE2">
      <w:pPr>
        <w:pStyle w:val="NoSpacing"/>
        <w:rPr>
          <w:sz w:val="24"/>
          <w:szCs w:val="24"/>
        </w:rPr>
      </w:pPr>
    </w:p>
    <w:p w:rsidR="00880BE2" w:rsidRPr="00880BE2" w:rsidRDefault="00880BE2" w:rsidP="00880BE2">
      <w:pPr>
        <w:pStyle w:val="NoSpacing"/>
        <w:numPr>
          <w:ilvl w:val="0"/>
          <w:numId w:val="5"/>
        </w:numPr>
        <w:rPr>
          <w:sz w:val="24"/>
          <w:szCs w:val="24"/>
        </w:rPr>
      </w:pPr>
      <w:r>
        <w:rPr>
          <w:b/>
          <w:sz w:val="24"/>
          <w:szCs w:val="24"/>
        </w:rPr>
        <w:t>“</w:t>
      </w:r>
      <w:r w:rsidRPr="00880BE2">
        <w:rPr>
          <w:b/>
          <w:sz w:val="24"/>
          <w:szCs w:val="24"/>
        </w:rPr>
        <w:t>All-Hazards Approach</w:t>
      </w:r>
      <w:r>
        <w:rPr>
          <w:b/>
          <w:sz w:val="24"/>
          <w:szCs w:val="24"/>
        </w:rPr>
        <w:t>”</w:t>
      </w:r>
      <w:r w:rsidRPr="00880BE2">
        <w:rPr>
          <w:sz w:val="24"/>
          <w:szCs w:val="24"/>
        </w:rPr>
        <w:t xml:space="preserve"> An all-hazards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particular type of hazards most likely to occur in their areas. These may include, but are not limited to, care-related emergencies, equipment and power failures, interruptions in communications, including cyber-attacks, loss of a portion or all of a facility, and </w:t>
      </w:r>
      <w:r w:rsidRPr="00880BE2">
        <w:rPr>
          <w:sz w:val="24"/>
          <w:szCs w:val="24"/>
        </w:rPr>
        <w:lastRenderedPageBreak/>
        <w:t xml:space="preserve">interruptions in the normal supply of essentials such as water and food. Rather than managing planning initiatives for a multitude of threat scenarios all-hazards planning focuses on developing capacities and capabilities that are critical to preparedness for a full spectrum of emergencies or disasters. Thus, all-hazards planning does not specifically address every possible threat but ensures those hospitals and all other providers and suppliers will have the capacity to address a broad range of related emergencies. </w:t>
      </w:r>
    </w:p>
    <w:p w:rsidR="00225695" w:rsidRDefault="00225695" w:rsidP="00880BE2">
      <w:pPr>
        <w:autoSpaceDE w:val="0"/>
        <w:autoSpaceDN w:val="0"/>
        <w:adjustRightInd w:val="0"/>
        <w:spacing w:after="240"/>
        <w:rPr>
          <w:rFonts w:asciiTheme="minorHAnsi" w:eastAsiaTheme="minorHAnsi" w:hAnsiTheme="minorHAnsi"/>
          <w:b/>
          <w:bCs/>
          <w:color w:val="000000"/>
          <w:szCs w:val="24"/>
        </w:rPr>
      </w:pPr>
    </w:p>
    <w:p w:rsidR="000E56A6" w:rsidRDefault="00A43B48" w:rsidP="00880BE2">
      <w:pPr>
        <w:autoSpaceDE w:val="0"/>
        <w:autoSpaceDN w:val="0"/>
        <w:adjustRightInd w:val="0"/>
        <w:spacing w:after="240"/>
        <w:rPr>
          <w:rFonts w:asciiTheme="minorHAnsi" w:eastAsiaTheme="minorHAnsi" w:hAnsiTheme="minorHAnsi"/>
          <w:bCs/>
          <w:color w:val="000000"/>
          <w:szCs w:val="24"/>
        </w:rPr>
      </w:pPr>
      <w:r>
        <w:rPr>
          <w:rFonts w:asciiTheme="minorHAnsi" w:eastAsiaTheme="minorHAnsi" w:hAnsiTheme="minorHAnsi"/>
          <w:b/>
          <w:bCs/>
          <w:color w:val="000000"/>
          <w:szCs w:val="24"/>
        </w:rPr>
        <w:t xml:space="preserve">FACILITY-BASED AND COMMUNITY BASED-RISK ASSESSMENT PROCESS </w:t>
      </w:r>
    </w:p>
    <w:p w:rsidR="00276EDF" w:rsidRPr="00880BE2" w:rsidRDefault="00880BE2" w:rsidP="00880BE2">
      <w:pPr>
        <w:shd w:val="clear" w:color="auto" w:fill="FFFFFF"/>
        <w:spacing w:after="240"/>
        <w:rPr>
          <w:rFonts w:asciiTheme="minorHAnsi" w:hAnsiTheme="minorHAnsi"/>
        </w:rPr>
      </w:pPr>
      <w:r w:rsidRPr="000E56A6">
        <w:rPr>
          <w:rFonts w:asciiTheme="minorHAnsi" w:eastAsiaTheme="minorHAnsi" w:hAnsiTheme="minorHAnsi"/>
          <w:iCs/>
          <w:color w:val="000000"/>
          <w:szCs w:val="24"/>
        </w:rPr>
        <w:t>The facility based and community-based risk assessment</w:t>
      </w:r>
      <w:r w:rsidRPr="00880BE2">
        <w:rPr>
          <w:rFonts w:asciiTheme="minorHAnsi" w:eastAsiaTheme="minorHAnsi" w:hAnsiTheme="minorHAnsi"/>
          <w:iCs/>
          <w:color w:val="000000"/>
          <w:szCs w:val="24"/>
        </w:rPr>
        <w:t xml:space="preserve"> process is a team approach.  Led by the facility administrator, the team will utilize an all hazards approach to complete the risk assessment in conjunction with the facility Emergency Preparedness Plan.  </w:t>
      </w:r>
      <w:r w:rsidR="00A43B48" w:rsidRPr="00880BE2">
        <w:rPr>
          <w:rFonts w:asciiTheme="minorHAnsi" w:hAnsiTheme="minorHAnsi"/>
        </w:rPr>
        <w:t xml:space="preserve">The purpose of an all hazards risk assessment is to assist facilities in identifying the greatest threats and vulnerabilities within the facility and the community.  Based upon the assessment, </w:t>
      </w:r>
      <w:r w:rsidRPr="00880BE2">
        <w:rPr>
          <w:rFonts w:asciiTheme="minorHAnsi" w:hAnsiTheme="minorHAnsi"/>
        </w:rPr>
        <w:t>the resource</w:t>
      </w:r>
      <w:r w:rsidR="00A43B48" w:rsidRPr="00880BE2">
        <w:rPr>
          <w:rFonts w:asciiTheme="minorHAnsi" w:hAnsiTheme="minorHAnsi"/>
        </w:rPr>
        <w:t xml:space="preserve"> or knowledge gaps can be addressed</w:t>
      </w:r>
      <w:r w:rsidRPr="00880BE2">
        <w:rPr>
          <w:rFonts w:asciiTheme="minorHAnsi" w:hAnsiTheme="minorHAnsi"/>
        </w:rPr>
        <w:t>, correlate the findings with the Facility Assessment and complete the Emergency Preparedness Plan</w:t>
      </w:r>
      <w:r w:rsidR="00A43B48" w:rsidRPr="00880BE2">
        <w:rPr>
          <w:rFonts w:asciiTheme="minorHAnsi" w:hAnsiTheme="minorHAnsi"/>
        </w:rPr>
        <w:t>.</w:t>
      </w:r>
    </w:p>
    <w:p w:rsidR="00A43B48" w:rsidRDefault="00880BE2" w:rsidP="00276EDF">
      <w:pPr>
        <w:shd w:val="clear" w:color="auto" w:fill="FFFFFF"/>
        <w:rPr>
          <w:rFonts w:asciiTheme="minorHAnsi" w:hAnsiTheme="minorHAnsi"/>
        </w:rPr>
      </w:pPr>
      <w:r w:rsidRPr="004E60BD">
        <w:rPr>
          <w:rFonts w:asciiTheme="minorHAnsi" w:hAnsiTheme="minorHAnsi"/>
        </w:rPr>
        <w:t xml:space="preserve">The following process is recommended for the completion of the </w:t>
      </w:r>
      <w:r w:rsidR="00225695" w:rsidRPr="004E60BD">
        <w:rPr>
          <w:rFonts w:asciiTheme="minorHAnsi" w:hAnsiTheme="minorHAnsi"/>
        </w:rPr>
        <w:t>Facility</w:t>
      </w:r>
      <w:r w:rsidRPr="004E60BD">
        <w:rPr>
          <w:rFonts w:asciiTheme="minorHAnsi" w:hAnsiTheme="minorHAnsi"/>
        </w:rPr>
        <w:t>-</w:t>
      </w:r>
      <w:r w:rsidR="00225695" w:rsidRPr="004E60BD">
        <w:rPr>
          <w:rFonts w:asciiTheme="minorHAnsi" w:hAnsiTheme="minorHAnsi"/>
        </w:rPr>
        <w:t>Risk</w:t>
      </w:r>
      <w:r w:rsidRPr="004E60BD">
        <w:rPr>
          <w:rFonts w:asciiTheme="minorHAnsi" w:hAnsiTheme="minorHAnsi"/>
        </w:rPr>
        <w:t xml:space="preserve"> and Community</w:t>
      </w:r>
      <w:r w:rsidR="00225695" w:rsidRPr="004E60BD">
        <w:rPr>
          <w:rFonts w:asciiTheme="minorHAnsi" w:hAnsiTheme="minorHAnsi"/>
        </w:rPr>
        <w:t xml:space="preserve">-Risk assessment:   </w:t>
      </w:r>
      <w:r w:rsidRPr="004E60BD">
        <w:rPr>
          <w:rFonts w:asciiTheme="minorHAnsi" w:hAnsiTheme="minorHAnsi"/>
        </w:rPr>
        <w:t xml:space="preserve"> </w:t>
      </w:r>
    </w:p>
    <w:p w:rsidR="004E60BD" w:rsidRPr="004E60BD" w:rsidRDefault="004E60BD" w:rsidP="00276EDF">
      <w:pPr>
        <w:shd w:val="clear" w:color="auto" w:fill="FFFFFF"/>
        <w:rPr>
          <w:rFonts w:asciiTheme="minorHAnsi" w:hAnsiTheme="minorHAnsi"/>
        </w:rPr>
      </w:pPr>
    </w:p>
    <w:p w:rsidR="004E60BD" w:rsidRDefault="00366A95" w:rsidP="004E60BD">
      <w:pPr>
        <w:shd w:val="clear" w:color="auto" w:fill="FFFFFF"/>
        <w:jc w:val="center"/>
      </w:pPr>
      <w:r>
        <w:rPr>
          <w:noProof/>
        </w:rPr>
        <w:drawing>
          <wp:inline distT="0" distB="0" distL="0" distR="0" wp14:anchorId="6992D7BA" wp14:editId="4924CC8E">
            <wp:extent cx="4548146" cy="36334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2512" cy="3636958"/>
                    </a:xfrm>
                    <a:prstGeom prst="rect">
                      <a:avLst/>
                    </a:prstGeom>
                  </pic:spPr>
                </pic:pic>
              </a:graphicData>
            </a:graphic>
          </wp:inline>
        </w:drawing>
      </w:r>
    </w:p>
    <w:p w:rsidR="004E60BD" w:rsidRDefault="004E60BD" w:rsidP="004E60BD">
      <w:pPr>
        <w:shd w:val="clear" w:color="auto" w:fill="FFFFFF"/>
        <w:jc w:val="center"/>
      </w:pPr>
    </w:p>
    <w:p w:rsidR="004E60BD" w:rsidRPr="00366A95" w:rsidRDefault="004E60BD" w:rsidP="004E60BD">
      <w:pPr>
        <w:pStyle w:val="ListParagraph"/>
        <w:numPr>
          <w:ilvl w:val="0"/>
          <w:numId w:val="6"/>
        </w:numPr>
        <w:shd w:val="clear" w:color="auto" w:fill="FFFFFF"/>
        <w:rPr>
          <w:rFonts w:asciiTheme="minorHAnsi" w:hAnsiTheme="minorHAnsi"/>
          <w:b/>
        </w:rPr>
      </w:pPr>
      <w:r w:rsidRPr="00366A95">
        <w:rPr>
          <w:rFonts w:asciiTheme="minorHAnsi" w:hAnsiTheme="minorHAnsi"/>
          <w:b/>
        </w:rPr>
        <w:t>Team</w:t>
      </w:r>
    </w:p>
    <w:p w:rsidR="004E60BD" w:rsidRPr="00366A95" w:rsidRDefault="00366A95" w:rsidP="004E60BD">
      <w:pPr>
        <w:pStyle w:val="ListParagraph"/>
        <w:numPr>
          <w:ilvl w:val="1"/>
          <w:numId w:val="6"/>
        </w:numPr>
        <w:shd w:val="clear" w:color="auto" w:fill="FFFFFF"/>
        <w:rPr>
          <w:rFonts w:asciiTheme="minorHAnsi" w:hAnsiTheme="minorHAnsi"/>
        </w:rPr>
      </w:pPr>
      <w:r w:rsidRPr="00366A95">
        <w:rPr>
          <w:rFonts w:asciiTheme="minorHAnsi" w:hAnsiTheme="minorHAnsi"/>
        </w:rPr>
        <w:t>Assemble a team l</w:t>
      </w:r>
      <w:r w:rsidR="004E60BD" w:rsidRPr="00366A95">
        <w:rPr>
          <w:rFonts w:asciiTheme="minorHAnsi" w:hAnsiTheme="minorHAnsi"/>
        </w:rPr>
        <w:t>ed by the facility Administrator</w:t>
      </w:r>
    </w:p>
    <w:p w:rsidR="00366A95" w:rsidRPr="00366A95" w:rsidRDefault="00366A95" w:rsidP="004E60BD">
      <w:pPr>
        <w:pStyle w:val="ListParagraph"/>
        <w:numPr>
          <w:ilvl w:val="1"/>
          <w:numId w:val="6"/>
        </w:numPr>
        <w:shd w:val="clear" w:color="auto" w:fill="FFFFFF"/>
        <w:rPr>
          <w:rFonts w:asciiTheme="minorHAnsi" w:hAnsiTheme="minorHAnsi"/>
        </w:rPr>
      </w:pPr>
      <w:r w:rsidRPr="00366A95">
        <w:rPr>
          <w:rFonts w:asciiTheme="minorHAnsi" w:eastAsiaTheme="minorHAnsi" w:hAnsiTheme="minorHAnsi"/>
          <w:iCs/>
          <w:color w:val="000000"/>
          <w:szCs w:val="24"/>
        </w:rPr>
        <w:t>Specific team members as indicated and required</w:t>
      </w:r>
    </w:p>
    <w:p w:rsidR="004E60BD" w:rsidRPr="00366A95" w:rsidRDefault="00366A95" w:rsidP="004E60BD">
      <w:pPr>
        <w:pStyle w:val="ListParagraph"/>
        <w:numPr>
          <w:ilvl w:val="1"/>
          <w:numId w:val="6"/>
        </w:numPr>
        <w:shd w:val="clear" w:color="auto" w:fill="FFFFFF"/>
        <w:rPr>
          <w:rFonts w:asciiTheme="minorHAnsi" w:hAnsiTheme="minorHAnsi"/>
        </w:rPr>
      </w:pPr>
      <w:r w:rsidRPr="00366A95">
        <w:rPr>
          <w:rFonts w:asciiTheme="minorHAnsi" w:eastAsiaTheme="minorHAnsi" w:hAnsiTheme="minorHAnsi"/>
          <w:iCs/>
          <w:color w:val="000000"/>
          <w:szCs w:val="24"/>
        </w:rPr>
        <w:t xml:space="preserve">Possible inclusion </w:t>
      </w:r>
      <w:r w:rsidRPr="000E56A6">
        <w:rPr>
          <w:rFonts w:asciiTheme="minorHAnsi" w:eastAsiaTheme="minorHAnsi" w:hAnsiTheme="minorHAnsi"/>
          <w:iCs/>
          <w:color w:val="000000"/>
          <w:szCs w:val="24"/>
        </w:rPr>
        <w:t>local/county Office of Emergency</w:t>
      </w:r>
      <w:r w:rsidR="00817FAE">
        <w:rPr>
          <w:rFonts w:asciiTheme="minorHAnsi" w:eastAsiaTheme="minorHAnsi" w:hAnsiTheme="minorHAnsi"/>
          <w:iCs/>
          <w:color w:val="000000"/>
          <w:szCs w:val="24"/>
        </w:rPr>
        <w:t xml:space="preserve"> Management and other organizations as appropriate </w:t>
      </w:r>
    </w:p>
    <w:p w:rsidR="004E60BD" w:rsidRPr="00366A95" w:rsidRDefault="004E60BD" w:rsidP="004E60BD">
      <w:pPr>
        <w:pStyle w:val="ListParagraph"/>
        <w:numPr>
          <w:ilvl w:val="0"/>
          <w:numId w:val="6"/>
        </w:numPr>
        <w:shd w:val="clear" w:color="auto" w:fill="FFFFFF"/>
        <w:rPr>
          <w:rFonts w:asciiTheme="minorHAnsi" w:hAnsiTheme="minorHAnsi"/>
          <w:b/>
        </w:rPr>
      </w:pPr>
      <w:r w:rsidRPr="00366A95">
        <w:rPr>
          <w:rFonts w:asciiTheme="minorHAnsi" w:hAnsiTheme="minorHAnsi"/>
          <w:b/>
        </w:rPr>
        <w:t xml:space="preserve">Tool </w:t>
      </w:r>
    </w:p>
    <w:p w:rsidR="00366A95" w:rsidRPr="00366A95" w:rsidRDefault="00366A95" w:rsidP="00366A95">
      <w:pPr>
        <w:pStyle w:val="ListParagraph"/>
        <w:numPr>
          <w:ilvl w:val="1"/>
          <w:numId w:val="6"/>
        </w:numPr>
        <w:shd w:val="clear" w:color="auto" w:fill="FFFFFF"/>
        <w:rPr>
          <w:rFonts w:asciiTheme="minorHAnsi" w:hAnsiTheme="minorHAnsi"/>
        </w:rPr>
      </w:pPr>
      <w:r w:rsidRPr="00366A95">
        <w:rPr>
          <w:rFonts w:asciiTheme="minorHAnsi" w:hAnsiTheme="minorHAnsi"/>
        </w:rPr>
        <w:t>Determine the all hazards tool for team completion</w:t>
      </w:r>
    </w:p>
    <w:p w:rsidR="00366A95" w:rsidRPr="007F45B6" w:rsidRDefault="00366A95" w:rsidP="00366A95">
      <w:pPr>
        <w:pStyle w:val="ListParagraph"/>
        <w:numPr>
          <w:ilvl w:val="1"/>
          <w:numId w:val="6"/>
        </w:numPr>
        <w:shd w:val="clear" w:color="auto" w:fill="FFFFFF"/>
        <w:rPr>
          <w:rFonts w:asciiTheme="minorHAnsi" w:hAnsiTheme="minorHAnsi"/>
        </w:rPr>
      </w:pPr>
      <w:r w:rsidRPr="00366A95">
        <w:rPr>
          <w:rFonts w:asciiTheme="minorHAnsi" w:hAnsiTheme="minorHAnsi"/>
        </w:rPr>
        <w:t xml:space="preserve">Recommend utilizing a </w:t>
      </w:r>
      <w:r w:rsidRPr="000E56A6">
        <w:rPr>
          <w:rFonts w:asciiTheme="minorHAnsi" w:eastAsiaTheme="minorHAnsi" w:hAnsiTheme="minorHAnsi"/>
          <w:iCs/>
          <w:color w:val="000000"/>
          <w:szCs w:val="24"/>
        </w:rPr>
        <w:t>Hazard Vulnerability Assessments (HVAs</w:t>
      </w:r>
      <w:r w:rsidRPr="00366A95">
        <w:rPr>
          <w:rFonts w:asciiTheme="minorHAnsi" w:eastAsiaTheme="minorHAnsi" w:hAnsiTheme="minorHAnsi"/>
          <w:iCs/>
          <w:color w:val="000000"/>
          <w:szCs w:val="24"/>
        </w:rPr>
        <w:t>)</w:t>
      </w:r>
      <w:r>
        <w:rPr>
          <w:rFonts w:asciiTheme="minorHAnsi" w:eastAsiaTheme="minorHAnsi" w:hAnsiTheme="minorHAnsi"/>
          <w:iCs/>
          <w:color w:val="000000"/>
          <w:szCs w:val="24"/>
        </w:rPr>
        <w:t xml:space="preserve"> </w:t>
      </w:r>
    </w:p>
    <w:p w:rsidR="007F45B6" w:rsidRPr="000667ED" w:rsidRDefault="007F45B6" w:rsidP="000667ED">
      <w:pPr>
        <w:pStyle w:val="ListParagraph"/>
        <w:numPr>
          <w:ilvl w:val="2"/>
          <w:numId w:val="6"/>
        </w:numPr>
        <w:shd w:val="clear" w:color="auto" w:fill="FFFFFF"/>
        <w:rPr>
          <w:rFonts w:asciiTheme="minorHAnsi" w:hAnsiTheme="minorHAnsi"/>
          <w:iCs/>
          <w:color w:val="000000"/>
        </w:rPr>
      </w:pPr>
      <w:r>
        <w:rPr>
          <w:rFonts w:asciiTheme="minorHAnsi" w:eastAsiaTheme="minorHAnsi" w:hAnsiTheme="minorHAnsi"/>
          <w:iCs/>
          <w:color w:val="000000"/>
          <w:szCs w:val="24"/>
        </w:rPr>
        <w:t xml:space="preserve">Purpose of the HVA is to assist the facility in </w:t>
      </w:r>
      <w:r w:rsidRPr="007F45B6">
        <w:rPr>
          <w:rFonts w:asciiTheme="minorHAnsi" w:eastAsiaTheme="minorEastAsia" w:hAnsiTheme="minorHAnsi"/>
          <w:iCs/>
          <w:color w:val="000000"/>
        </w:rPr>
        <w:t>identifying the greatest threats and vulnerabilities within your facility or local community, as well as using the tool to plan for emergencies and address resource gaps</w:t>
      </w:r>
    </w:p>
    <w:p w:rsidR="004E60BD" w:rsidRPr="005615BA" w:rsidRDefault="004E60BD" w:rsidP="004E60BD">
      <w:pPr>
        <w:pStyle w:val="ListParagraph"/>
        <w:numPr>
          <w:ilvl w:val="0"/>
          <w:numId w:val="6"/>
        </w:numPr>
        <w:shd w:val="clear" w:color="auto" w:fill="FFFFFF"/>
        <w:rPr>
          <w:rFonts w:asciiTheme="minorHAnsi" w:hAnsiTheme="minorHAnsi"/>
          <w:b/>
        </w:rPr>
      </w:pPr>
      <w:r w:rsidRPr="005615BA">
        <w:rPr>
          <w:rFonts w:asciiTheme="minorHAnsi" w:hAnsiTheme="minorHAnsi"/>
          <w:b/>
        </w:rPr>
        <w:t>Complete</w:t>
      </w:r>
    </w:p>
    <w:p w:rsidR="00366A95" w:rsidRDefault="00366A95" w:rsidP="005615BA">
      <w:pPr>
        <w:pStyle w:val="ListParagraph"/>
        <w:numPr>
          <w:ilvl w:val="1"/>
          <w:numId w:val="6"/>
        </w:numPr>
        <w:shd w:val="clear" w:color="auto" w:fill="FFFFFF"/>
        <w:rPr>
          <w:rFonts w:asciiTheme="minorHAnsi" w:hAnsiTheme="minorHAnsi"/>
        </w:rPr>
      </w:pPr>
      <w:r>
        <w:rPr>
          <w:rFonts w:asciiTheme="minorHAnsi" w:hAnsiTheme="minorHAnsi"/>
        </w:rPr>
        <w:t>Complete the all hazards tool per guidelines</w:t>
      </w:r>
    </w:p>
    <w:p w:rsidR="002C456A" w:rsidRPr="005615BA" w:rsidRDefault="002C456A" w:rsidP="002C456A">
      <w:pPr>
        <w:pStyle w:val="ListParagraph"/>
        <w:shd w:val="clear" w:color="auto" w:fill="FFFFFF"/>
        <w:ind w:left="1440"/>
        <w:rPr>
          <w:rFonts w:asciiTheme="minorHAnsi" w:hAnsiTheme="minorHAnsi"/>
        </w:rPr>
      </w:pPr>
    </w:p>
    <w:p w:rsidR="004E60BD" w:rsidRPr="005615BA" w:rsidRDefault="004E60BD" w:rsidP="004E60BD">
      <w:pPr>
        <w:pStyle w:val="ListParagraph"/>
        <w:numPr>
          <w:ilvl w:val="0"/>
          <w:numId w:val="6"/>
        </w:numPr>
        <w:shd w:val="clear" w:color="auto" w:fill="FFFFFF"/>
        <w:rPr>
          <w:rFonts w:asciiTheme="minorHAnsi" w:hAnsiTheme="minorHAnsi"/>
          <w:b/>
        </w:rPr>
      </w:pPr>
      <w:r w:rsidRPr="005615BA">
        <w:rPr>
          <w:rFonts w:asciiTheme="minorHAnsi" w:hAnsiTheme="minorHAnsi"/>
          <w:b/>
        </w:rPr>
        <w:t>Review</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 xml:space="preserve">Review and analyze the findings of the HVA  </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Summarize the findings with the Team</w:t>
      </w:r>
    </w:p>
    <w:p w:rsidR="00F27155" w:rsidRDefault="00F27155" w:rsidP="005615BA">
      <w:pPr>
        <w:pStyle w:val="ListParagraph"/>
        <w:numPr>
          <w:ilvl w:val="1"/>
          <w:numId w:val="6"/>
        </w:numPr>
        <w:shd w:val="clear" w:color="auto" w:fill="FFFFFF"/>
        <w:rPr>
          <w:rFonts w:asciiTheme="minorHAnsi" w:hAnsiTheme="minorHAnsi"/>
        </w:rPr>
      </w:pPr>
      <w:r>
        <w:rPr>
          <w:rFonts w:asciiTheme="minorHAnsi" w:hAnsiTheme="minorHAnsi"/>
        </w:rPr>
        <w:t xml:space="preserve">Focus on </w:t>
      </w:r>
      <w:r w:rsidR="00F3656F">
        <w:rPr>
          <w:rFonts w:asciiTheme="minorHAnsi" w:hAnsiTheme="minorHAnsi"/>
        </w:rPr>
        <w:t xml:space="preserve">potential </w:t>
      </w:r>
      <w:r>
        <w:rPr>
          <w:rFonts w:asciiTheme="minorHAnsi" w:hAnsiTheme="minorHAnsi"/>
        </w:rPr>
        <w:t xml:space="preserve">high volume, high risk areas </w:t>
      </w:r>
    </w:p>
    <w:p w:rsidR="002C456A" w:rsidRPr="00366A95" w:rsidRDefault="002C456A" w:rsidP="002C456A">
      <w:pPr>
        <w:pStyle w:val="ListParagraph"/>
        <w:shd w:val="clear" w:color="auto" w:fill="FFFFFF"/>
        <w:ind w:left="1440"/>
        <w:rPr>
          <w:rFonts w:asciiTheme="minorHAnsi" w:hAnsiTheme="minorHAnsi"/>
        </w:rPr>
      </w:pPr>
    </w:p>
    <w:p w:rsidR="004E60BD" w:rsidRPr="005615BA" w:rsidRDefault="004E60BD" w:rsidP="004E60BD">
      <w:pPr>
        <w:pStyle w:val="ListParagraph"/>
        <w:numPr>
          <w:ilvl w:val="0"/>
          <w:numId w:val="6"/>
        </w:numPr>
        <w:shd w:val="clear" w:color="auto" w:fill="FFFFFF"/>
        <w:rPr>
          <w:rFonts w:asciiTheme="minorHAnsi" w:hAnsiTheme="minorHAnsi"/>
          <w:b/>
        </w:rPr>
      </w:pPr>
      <w:r w:rsidRPr="005615BA">
        <w:rPr>
          <w:rFonts w:asciiTheme="minorHAnsi" w:hAnsiTheme="minorHAnsi"/>
          <w:b/>
        </w:rPr>
        <w:t>Identify</w:t>
      </w:r>
    </w:p>
    <w:p w:rsidR="004E60BD" w:rsidRPr="00366A95" w:rsidRDefault="004E60BD" w:rsidP="004E60BD">
      <w:pPr>
        <w:pStyle w:val="ListParagraph"/>
        <w:numPr>
          <w:ilvl w:val="1"/>
          <w:numId w:val="6"/>
        </w:numPr>
        <w:shd w:val="clear" w:color="auto" w:fill="FFFFFF"/>
        <w:rPr>
          <w:rFonts w:asciiTheme="minorHAnsi" w:hAnsiTheme="minorHAnsi"/>
        </w:rPr>
      </w:pPr>
      <w:r w:rsidRPr="00366A95">
        <w:rPr>
          <w:rFonts w:asciiTheme="minorHAnsi" w:hAnsiTheme="minorHAnsi"/>
        </w:rPr>
        <w:t>Identify Hazards</w:t>
      </w:r>
    </w:p>
    <w:p w:rsidR="004E60BD" w:rsidRPr="00366A95" w:rsidRDefault="004E60BD" w:rsidP="004E60BD">
      <w:pPr>
        <w:pStyle w:val="ListParagraph"/>
        <w:numPr>
          <w:ilvl w:val="2"/>
          <w:numId w:val="6"/>
        </w:numPr>
        <w:shd w:val="clear" w:color="auto" w:fill="FFFFFF"/>
        <w:rPr>
          <w:rFonts w:asciiTheme="minorHAnsi" w:hAnsiTheme="minorHAnsi"/>
        </w:rPr>
      </w:pPr>
      <w:r w:rsidRPr="00366A95">
        <w:rPr>
          <w:rFonts w:asciiTheme="minorHAnsi" w:hAnsiTheme="minorHAnsi"/>
        </w:rPr>
        <w:t>Hazards that may cause:</w:t>
      </w:r>
    </w:p>
    <w:p w:rsidR="004E60BD" w:rsidRPr="00366A95" w:rsidRDefault="004E60BD" w:rsidP="004E60BD">
      <w:pPr>
        <w:pStyle w:val="ListParagraph"/>
        <w:numPr>
          <w:ilvl w:val="3"/>
          <w:numId w:val="6"/>
        </w:numPr>
        <w:shd w:val="clear" w:color="auto" w:fill="FFFFFF"/>
        <w:rPr>
          <w:rFonts w:asciiTheme="minorHAnsi" w:hAnsiTheme="minorHAnsi"/>
        </w:rPr>
      </w:pPr>
      <w:r w:rsidRPr="00366A95">
        <w:rPr>
          <w:rFonts w:asciiTheme="minorHAnsi" w:hAnsiTheme="minorHAnsi"/>
        </w:rPr>
        <w:t>Injury</w:t>
      </w:r>
    </w:p>
    <w:p w:rsidR="004E60BD" w:rsidRPr="00366A95" w:rsidRDefault="004E60BD" w:rsidP="004E60BD">
      <w:pPr>
        <w:pStyle w:val="ListParagraph"/>
        <w:numPr>
          <w:ilvl w:val="3"/>
          <w:numId w:val="6"/>
        </w:numPr>
        <w:shd w:val="clear" w:color="auto" w:fill="FFFFFF"/>
        <w:rPr>
          <w:rFonts w:asciiTheme="minorHAnsi" w:hAnsiTheme="minorHAnsi"/>
        </w:rPr>
      </w:pPr>
      <w:r w:rsidRPr="00366A95">
        <w:rPr>
          <w:rFonts w:asciiTheme="minorHAnsi" w:hAnsiTheme="minorHAnsi"/>
        </w:rPr>
        <w:t>Property damage</w:t>
      </w:r>
    </w:p>
    <w:p w:rsidR="004E60BD" w:rsidRPr="00366A95" w:rsidRDefault="004E60BD" w:rsidP="004E60BD">
      <w:pPr>
        <w:pStyle w:val="ListParagraph"/>
        <w:numPr>
          <w:ilvl w:val="3"/>
          <w:numId w:val="6"/>
        </w:numPr>
        <w:shd w:val="clear" w:color="auto" w:fill="FFFFFF"/>
        <w:rPr>
          <w:rFonts w:asciiTheme="minorHAnsi" w:hAnsiTheme="minorHAnsi"/>
        </w:rPr>
      </w:pPr>
      <w:r w:rsidRPr="00366A95">
        <w:rPr>
          <w:rFonts w:asciiTheme="minorHAnsi" w:hAnsiTheme="minorHAnsi"/>
        </w:rPr>
        <w:t>Business disruption</w:t>
      </w:r>
    </w:p>
    <w:p w:rsidR="004E60BD" w:rsidRPr="00366A95" w:rsidRDefault="004E60BD" w:rsidP="004E60BD">
      <w:pPr>
        <w:pStyle w:val="ListParagraph"/>
        <w:numPr>
          <w:ilvl w:val="3"/>
          <w:numId w:val="6"/>
        </w:numPr>
        <w:shd w:val="clear" w:color="auto" w:fill="FFFFFF"/>
        <w:rPr>
          <w:rFonts w:asciiTheme="minorHAnsi" w:hAnsiTheme="minorHAnsi"/>
        </w:rPr>
      </w:pPr>
      <w:r w:rsidRPr="00366A95">
        <w:rPr>
          <w:rFonts w:asciiTheme="minorHAnsi" w:hAnsiTheme="minorHAnsi"/>
        </w:rPr>
        <w:t>Environmental impact</w:t>
      </w:r>
    </w:p>
    <w:p w:rsidR="00F27155" w:rsidRPr="00F27155" w:rsidRDefault="004E60BD" w:rsidP="00F27155">
      <w:pPr>
        <w:pStyle w:val="ListParagraph"/>
        <w:numPr>
          <w:ilvl w:val="1"/>
          <w:numId w:val="6"/>
        </w:numPr>
        <w:shd w:val="clear" w:color="auto" w:fill="FFFFFF"/>
        <w:rPr>
          <w:rFonts w:asciiTheme="minorHAnsi" w:hAnsiTheme="minorHAnsi"/>
        </w:rPr>
      </w:pPr>
      <w:r w:rsidRPr="00366A95">
        <w:rPr>
          <w:rFonts w:asciiTheme="minorHAnsi" w:hAnsiTheme="minorHAnsi"/>
        </w:rPr>
        <w:t>Identify Vulnerabilities</w:t>
      </w:r>
    </w:p>
    <w:p w:rsidR="004E60BD" w:rsidRDefault="004E60BD" w:rsidP="004E60BD">
      <w:pPr>
        <w:pStyle w:val="ListParagraph"/>
        <w:numPr>
          <w:ilvl w:val="1"/>
          <w:numId w:val="6"/>
        </w:numPr>
        <w:shd w:val="clear" w:color="auto" w:fill="FFFFFF"/>
        <w:rPr>
          <w:rFonts w:asciiTheme="minorHAnsi" w:hAnsiTheme="minorHAnsi"/>
        </w:rPr>
      </w:pPr>
      <w:r w:rsidRPr="00366A95">
        <w:rPr>
          <w:rFonts w:asciiTheme="minorHAnsi" w:hAnsiTheme="minorHAnsi"/>
        </w:rPr>
        <w:t xml:space="preserve">Determine potential Business Impact </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Lost revenue and billing capabilities</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Labor costs – overtime and accessibility</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Third party agreements and contingencies</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Regulatory implications</w:t>
      </w:r>
    </w:p>
    <w:p w:rsidR="000667ED" w:rsidRP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Recovery strategies and costs</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Identification, document and recovery needs  of key business functions and processes</w:t>
      </w:r>
    </w:p>
    <w:p w:rsidR="000667ED"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Potential relocation plan (See Admission, transfer, discharge policies)</w:t>
      </w:r>
    </w:p>
    <w:p w:rsidR="000667ED" w:rsidRPr="00366A95" w:rsidRDefault="000667ED" w:rsidP="000667ED">
      <w:pPr>
        <w:pStyle w:val="ListParagraph"/>
        <w:numPr>
          <w:ilvl w:val="2"/>
          <w:numId w:val="6"/>
        </w:numPr>
        <w:shd w:val="clear" w:color="auto" w:fill="FFFFFF"/>
        <w:rPr>
          <w:rFonts w:asciiTheme="minorHAnsi" w:hAnsiTheme="minorHAnsi"/>
        </w:rPr>
      </w:pPr>
      <w:r>
        <w:rPr>
          <w:rFonts w:asciiTheme="minorHAnsi" w:hAnsiTheme="minorHAnsi"/>
        </w:rPr>
        <w:t xml:space="preserve">Insurance policies </w:t>
      </w:r>
    </w:p>
    <w:p w:rsidR="004E60BD" w:rsidRPr="00366A95" w:rsidRDefault="004E60BD" w:rsidP="004E60BD">
      <w:pPr>
        <w:pStyle w:val="ListParagraph"/>
        <w:numPr>
          <w:ilvl w:val="1"/>
          <w:numId w:val="6"/>
        </w:numPr>
        <w:shd w:val="clear" w:color="auto" w:fill="FFFFFF"/>
        <w:rPr>
          <w:rFonts w:asciiTheme="minorHAnsi" w:hAnsiTheme="minorHAnsi"/>
        </w:rPr>
      </w:pPr>
      <w:r w:rsidRPr="00366A95">
        <w:rPr>
          <w:rFonts w:asciiTheme="minorHAnsi" w:hAnsiTheme="minorHAnsi"/>
        </w:rPr>
        <w:t>Community risk may include:</w:t>
      </w:r>
    </w:p>
    <w:p w:rsidR="004E60BD" w:rsidRPr="00366A95" w:rsidRDefault="004E60BD" w:rsidP="004E60BD">
      <w:pPr>
        <w:pStyle w:val="ListParagraph"/>
        <w:numPr>
          <w:ilvl w:val="2"/>
          <w:numId w:val="6"/>
        </w:numPr>
        <w:shd w:val="clear" w:color="auto" w:fill="FFFFFF"/>
        <w:rPr>
          <w:rFonts w:asciiTheme="minorHAnsi" w:hAnsiTheme="minorHAnsi"/>
        </w:rPr>
      </w:pPr>
      <w:r w:rsidRPr="00366A95">
        <w:rPr>
          <w:rFonts w:asciiTheme="minorHAnsi" w:hAnsiTheme="minorHAnsi"/>
        </w:rPr>
        <w:t xml:space="preserve">Knowledge and skill of your community and of yourself as a provider in the community </w:t>
      </w:r>
    </w:p>
    <w:p w:rsidR="004E60BD" w:rsidRPr="00366A95" w:rsidRDefault="004E60BD" w:rsidP="004E60BD">
      <w:pPr>
        <w:pStyle w:val="ListParagraph"/>
        <w:numPr>
          <w:ilvl w:val="2"/>
          <w:numId w:val="6"/>
        </w:numPr>
        <w:shd w:val="clear" w:color="auto" w:fill="FFFFFF"/>
        <w:rPr>
          <w:rFonts w:asciiTheme="minorHAnsi" w:hAnsiTheme="minorHAnsi"/>
        </w:rPr>
      </w:pPr>
      <w:r w:rsidRPr="00366A95">
        <w:rPr>
          <w:rFonts w:asciiTheme="minorHAnsi" w:hAnsiTheme="minorHAnsi"/>
        </w:rPr>
        <w:lastRenderedPageBreak/>
        <w:t>Knowledge of the facility’s consumers and local community residents</w:t>
      </w:r>
    </w:p>
    <w:p w:rsidR="004E60BD" w:rsidRDefault="004E60BD" w:rsidP="004E60BD">
      <w:pPr>
        <w:pStyle w:val="ListParagraph"/>
        <w:numPr>
          <w:ilvl w:val="2"/>
          <w:numId w:val="6"/>
        </w:numPr>
        <w:shd w:val="clear" w:color="auto" w:fill="FFFFFF"/>
        <w:rPr>
          <w:rFonts w:asciiTheme="minorHAnsi" w:hAnsiTheme="minorHAnsi"/>
        </w:rPr>
      </w:pPr>
      <w:r w:rsidRPr="00366A95">
        <w:rPr>
          <w:rFonts w:asciiTheme="minorHAnsi" w:hAnsiTheme="minorHAnsi"/>
        </w:rPr>
        <w:t xml:space="preserve">Knowledge of the facility’s capacity and capabilities </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 xml:space="preserve">Determine and implement necessary actions related to hazards and </w:t>
      </w:r>
      <w:r w:rsidR="002C456A">
        <w:rPr>
          <w:rFonts w:asciiTheme="minorHAnsi" w:hAnsiTheme="minorHAnsi"/>
        </w:rPr>
        <w:t xml:space="preserve">vulnerabilities that are not </w:t>
      </w:r>
      <w:r>
        <w:rPr>
          <w:rFonts w:asciiTheme="minorHAnsi" w:hAnsiTheme="minorHAnsi"/>
        </w:rPr>
        <w:t>addressed in the Emergency Preparedness Plan</w:t>
      </w:r>
    </w:p>
    <w:p w:rsidR="002C456A" w:rsidRPr="00366A95" w:rsidRDefault="002C456A" w:rsidP="002C456A">
      <w:pPr>
        <w:pStyle w:val="ListParagraph"/>
        <w:shd w:val="clear" w:color="auto" w:fill="FFFFFF"/>
        <w:ind w:left="1440"/>
        <w:rPr>
          <w:rFonts w:asciiTheme="minorHAnsi" w:hAnsiTheme="minorHAnsi"/>
        </w:rPr>
      </w:pPr>
    </w:p>
    <w:p w:rsidR="004E60BD" w:rsidRPr="00BD264F" w:rsidRDefault="004E60BD" w:rsidP="004E60BD">
      <w:pPr>
        <w:pStyle w:val="ListParagraph"/>
        <w:numPr>
          <w:ilvl w:val="0"/>
          <w:numId w:val="6"/>
        </w:numPr>
        <w:shd w:val="clear" w:color="auto" w:fill="FFFFFF"/>
        <w:rPr>
          <w:rFonts w:asciiTheme="minorHAnsi" w:hAnsiTheme="minorHAnsi"/>
          <w:b/>
        </w:rPr>
      </w:pPr>
      <w:r w:rsidRPr="00BD264F">
        <w:rPr>
          <w:rFonts w:asciiTheme="minorHAnsi" w:hAnsiTheme="minorHAnsi"/>
          <w:b/>
        </w:rPr>
        <w:t>Emergency Preparedness</w:t>
      </w:r>
    </w:p>
    <w:p w:rsidR="004E60BD" w:rsidRDefault="004E60BD" w:rsidP="004E60BD">
      <w:pPr>
        <w:pStyle w:val="ListParagraph"/>
        <w:numPr>
          <w:ilvl w:val="1"/>
          <w:numId w:val="6"/>
        </w:numPr>
        <w:shd w:val="clear" w:color="auto" w:fill="FFFFFF"/>
        <w:rPr>
          <w:rFonts w:asciiTheme="minorHAnsi" w:hAnsiTheme="minorHAnsi"/>
        </w:rPr>
      </w:pPr>
      <w:r w:rsidRPr="00366A95">
        <w:rPr>
          <w:rFonts w:asciiTheme="minorHAnsi" w:hAnsiTheme="minorHAnsi"/>
        </w:rPr>
        <w:t xml:space="preserve">Plans for should identify threats or hazards, opportunities for prevention and risk mitigation </w:t>
      </w:r>
    </w:p>
    <w:p w:rsidR="002C456A" w:rsidRPr="00366A95" w:rsidRDefault="002C456A" w:rsidP="002C456A">
      <w:pPr>
        <w:pStyle w:val="ListParagraph"/>
        <w:shd w:val="clear" w:color="auto" w:fill="FFFFFF"/>
        <w:ind w:left="1440"/>
        <w:rPr>
          <w:rFonts w:asciiTheme="minorHAnsi" w:hAnsiTheme="minorHAnsi"/>
        </w:rPr>
      </w:pPr>
    </w:p>
    <w:p w:rsidR="004E60BD" w:rsidRPr="00BD264F" w:rsidRDefault="004E60BD" w:rsidP="004E60BD">
      <w:pPr>
        <w:pStyle w:val="ListParagraph"/>
        <w:numPr>
          <w:ilvl w:val="0"/>
          <w:numId w:val="6"/>
        </w:numPr>
        <w:shd w:val="clear" w:color="auto" w:fill="FFFFFF"/>
        <w:rPr>
          <w:rFonts w:asciiTheme="minorHAnsi" w:hAnsiTheme="minorHAnsi"/>
          <w:b/>
        </w:rPr>
      </w:pPr>
      <w:r w:rsidRPr="00BD264F">
        <w:rPr>
          <w:rFonts w:asciiTheme="minorHAnsi" w:hAnsiTheme="minorHAnsi"/>
          <w:b/>
        </w:rPr>
        <w:t>Incorporate into Facility Assessment</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 xml:space="preserve">Incorporate findings into the applicable sections of the written narrative Facility Assessment </w:t>
      </w:r>
    </w:p>
    <w:p w:rsidR="00BD264F" w:rsidRDefault="00BD264F" w:rsidP="005615BA">
      <w:pPr>
        <w:pStyle w:val="ListParagraph"/>
        <w:numPr>
          <w:ilvl w:val="1"/>
          <w:numId w:val="6"/>
        </w:numPr>
        <w:shd w:val="clear" w:color="auto" w:fill="FFFFFF"/>
        <w:rPr>
          <w:rFonts w:asciiTheme="minorHAnsi" w:hAnsiTheme="minorHAnsi"/>
        </w:rPr>
      </w:pPr>
      <w:r>
        <w:rPr>
          <w:rFonts w:asciiTheme="minorHAnsi" w:hAnsiTheme="minorHAnsi"/>
        </w:rPr>
        <w:t xml:space="preserve">Refer to the Risk Assessment of the Emergency Preparedness Plan </w:t>
      </w:r>
    </w:p>
    <w:p w:rsidR="002C456A" w:rsidRPr="00366A95" w:rsidRDefault="002C456A" w:rsidP="002C456A">
      <w:pPr>
        <w:pStyle w:val="ListParagraph"/>
        <w:shd w:val="clear" w:color="auto" w:fill="FFFFFF"/>
        <w:ind w:left="1440"/>
        <w:rPr>
          <w:rFonts w:asciiTheme="minorHAnsi" w:hAnsiTheme="minorHAnsi"/>
        </w:rPr>
      </w:pPr>
    </w:p>
    <w:p w:rsidR="004E60BD" w:rsidRPr="00BD264F" w:rsidRDefault="004E60BD" w:rsidP="004E60BD">
      <w:pPr>
        <w:pStyle w:val="ListParagraph"/>
        <w:numPr>
          <w:ilvl w:val="0"/>
          <w:numId w:val="6"/>
        </w:numPr>
        <w:shd w:val="clear" w:color="auto" w:fill="FFFFFF"/>
        <w:rPr>
          <w:rFonts w:asciiTheme="minorHAnsi" w:hAnsiTheme="minorHAnsi"/>
          <w:b/>
        </w:rPr>
      </w:pPr>
      <w:r w:rsidRPr="00BD264F">
        <w:rPr>
          <w:rFonts w:asciiTheme="minorHAnsi" w:hAnsiTheme="minorHAnsi"/>
          <w:b/>
        </w:rPr>
        <w:t>Train</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Provide training to all staff as required</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Provide training to facility leadership as it relates to their respective roles and responsibilities *See facility Emergency Preparedness Plan</w:t>
      </w:r>
    </w:p>
    <w:p w:rsidR="002C456A" w:rsidRPr="00366A95" w:rsidRDefault="002C456A" w:rsidP="002C456A">
      <w:pPr>
        <w:pStyle w:val="ListParagraph"/>
        <w:shd w:val="clear" w:color="auto" w:fill="FFFFFF"/>
        <w:ind w:left="1440"/>
        <w:rPr>
          <w:rFonts w:asciiTheme="minorHAnsi" w:hAnsiTheme="minorHAnsi"/>
        </w:rPr>
      </w:pPr>
    </w:p>
    <w:p w:rsidR="004E60BD" w:rsidRPr="00BD264F" w:rsidRDefault="004E60BD" w:rsidP="004E60BD">
      <w:pPr>
        <w:pStyle w:val="ListParagraph"/>
        <w:numPr>
          <w:ilvl w:val="0"/>
          <w:numId w:val="6"/>
        </w:numPr>
        <w:shd w:val="clear" w:color="auto" w:fill="FFFFFF"/>
        <w:rPr>
          <w:rFonts w:asciiTheme="minorHAnsi" w:hAnsiTheme="minorHAnsi"/>
          <w:b/>
        </w:rPr>
      </w:pPr>
      <w:r w:rsidRPr="00BD264F">
        <w:rPr>
          <w:rFonts w:asciiTheme="minorHAnsi" w:hAnsiTheme="minorHAnsi"/>
          <w:b/>
        </w:rPr>
        <w:t>Implement</w:t>
      </w:r>
      <w:r w:rsidR="005615BA" w:rsidRPr="00BD264F">
        <w:rPr>
          <w:rFonts w:asciiTheme="minorHAnsi" w:hAnsiTheme="minorHAnsi"/>
          <w:b/>
        </w:rPr>
        <w:t xml:space="preserve"> and Evaluate </w:t>
      </w:r>
    </w:p>
    <w:p w:rsidR="00366A95" w:rsidRPr="00366A95" w:rsidRDefault="00366A95" w:rsidP="00366A95">
      <w:pPr>
        <w:pStyle w:val="ListParagraph"/>
        <w:numPr>
          <w:ilvl w:val="1"/>
          <w:numId w:val="6"/>
        </w:numPr>
        <w:shd w:val="clear" w:color="auto" w:fill="FFFFFF"/>
        <w:rPr>
          <w:rFonts w:asciiTheme="minorHAnsi" w:hAnsiTheme="minorHAnsi"/>
        </w:rPr>
      </w:pPr>
      <w:r w:rsidRPr="00366A95">
        <w:rPr>
          <w:rFonts w:asciiTheme="minorHAnsi" w:hAnsiTheme="minorHAnsi"/>
        </w:rPr>
        <w:t>Follow Emergency Preparedness Plan drill and implementation requirements</w:t>
      </w:r>
    </w:p>
    <w:p w:rsidR="005615BA" w:rsidRDefault="005615BA" w:rsidP="005615BA">
      <w:pPr>
        <w:pStyle w:val="ListParagraph"/>
        <w:numPr>
          <w:ilvl w:val="1"/>
          <w:numId w:val="6"/>
        </w:numPr>
        <w:shd w:val="clear" w:color="auto" w:fill="FFFFFF"/>
        <w:rPr>
          <w:rFonts w:asciiTheme="minorHAnsi" w:hAnsiTheme="minorHAnsi"/>
        </w:rPr>
      </w:pPr>
      <w:r>
        <w:rPr>
          <w:rFonts w:asciiTheme="minorHAnsi" w:hAnsiTheme="minorHAnsi"/>
        </w:rPr>
        <w:t xml:space="preserve">The findings of the risk assessment should be integrated and compatible with the Facility Assessment and the Emergency Preparedness Plan.  </w:t>
      </w:r>
    </w:p>
    <w:p w:rsidR="005615BA" w:rsidRPr="005615BA" w:rsidRDefault="005615BA" w:rsidP="005615BA">
      <w:pPr>
        <w:pStyle w:val="ListParagraph"/>
        <w:numPr>
          <w:ilvl w:val="2"/>
          <w:numId w:val="6"/>
        </w:numPr>
        <w:shd w:val="clear" w:color="auto" w:fill="FFFFFF"/>
        <w:rPr>
          <w:rFonts w:asciiTheme="minorHAnsi" w:hAnsiTheme="minorHAnsi"/>
        </w:rPr>
      </w:pPr>
      <w:r w:rsidRPr="005615BA">
        <w:rPr>
          <w:rFonts w:asciiTheme="minorHAnsi" w:eastAsiaTheme="minorHAnsi" w:hAnsiTheme="minorHAnsi"/>
          <w:iCs/>
          <w:color w:val="000000"/>
          <w:szCs w:val="24"/>
        </w:rPr>
        <w:t xml:space="preserve">As one is updated, so should the other. </w:t>
      </w:r>
    </w:p>
    <w:p w:rsidR="005615BA" w:rsidRPr="005615BA" w:rsidRDefault="005615BA" w:rsidP="005615BA">
      <w:pPr>
        <w:pStyle w:val="ListParagraph"/>
        <w:numPr>
          <w:ilvl w:val="1"/>
          <w:numId w:val="6"/>
        </w:numPr>
        <w:shd w:val="clear" w:color="auto" w:fill="FFFFFF"/>
        <w:rPr>
          <w:rFonts w:asciiTheme="minorHAnsi" w:hAnsiTheme="minorHAnsi"/>
        </w:rPr>
      </w:pPr>
      <w:r>
        <w:rPr>
          <w:rFonts w:asciiTheme="minorHAnsi" w:eastAsiaTheme="minorHAnsi" w:hAnsiTheme="minorHAnsi"/>
          <w:iCs/>
          <w:color w:val="000000"/>
          <w:szCs w:val="24"/>
        </w:rPr>
        <w:t>The Facility Assessment, including the all hazards risk assessment, should be reviewed annually or updated per requirements</w:t>
      </w:r>
    </w:p>
    <w:p w:rsidR="004E60BD" w:rsidRDefault="004E60BD" w:rsidP="00736D86">
      <w:pPr>
        <w:pStyle w:val="Heading2"/>
        <w:rPr>
          <w:rFonts w:asciiTheme="minorHAnsi" w:hAnsiTheme="minorHAnsi"/>
          <w:b/>
          <w:color w:val="auto"/>
          <w:sz w:val="24"/>
          <w:szCs w:val="24"/>
        </w:rPr>
      </w:pPr>
    </w:p>
    <w:p w:rsidR="00276EDF" w:rsidRPr="00276EDF" w:rsidRDefault="00276EDF" w:rsidP="00736D86">
      <w:pPr>
        <w:pStyle w:val="Heading2"/>
      </w:pPr>
      <w:r w:rsidRPr="00276EDF">
        <w:rPr>
          <w:rFonts w:asciiTheme="minorHAnsi" w:hAnsiTheme="minorHAnsi"/>
          <w:b/>
          <w:color w:val="auto"/>
          <w:sz w:val="24"/>
          <w:szCs w:val="24"/>
        </w:rPr>
        <w:t xml:space="preserve">HOW TO INCORPORATE INTO THE FACILITY ASSESSMENT  </w:t>
      </w:r>
    </w:p>
    <w:p w:rsidR="00276EDF" w:rsidRDefault="00276EDF" w:rsidP="00276EDF">
      <w:pPr>
        <w:textAlignment w:val="baseline"/>
        <w:rPr>
          <w:rFonts w:asciiTheme="minorHAnsi" w:hAnsiTheme="minorHAnsi" w:cs="Segoe UI"/>
          <w:b/>
          <w:bCs/>
          <w:szCs w:val="24"/>
        </w:rPr>
      </w:pPr>
    </w:p>
    <w:p w:rsidR="00276EDF" w:rsidRDefault="00736D86" w:rsidP="00AD1280">
      <w:pPr>
        <w:autoSpaceDE w:val="0"/>
        <w:autoSpaceDN w:val="0"/>
        <w:adjustRightInd w:val="0"/>
        <w:spacing w:line="276" w:lineRule="atLeast"/>
        <w:rPr>
          <w:rFonts w:asciiTheme="minorHAnsi" w:hAnsiTheme="minorHAnsi" w:cs="Segoe UI"/>
          <w:bCs/>
          <w:szCs w:val="24"/>
        </w:rPr>
      </w:pPr>
      <w:r>
        <w:rPr>
          <w:rFonts w:asciiTheme="minorHAnsi" w:hAnsiTheme="minorHAnsi"/>
          <w:iCs/>
          <w:szCs w:val="24"/>
        </w:rPr>
        <w:t xml:space="preserve">Per </w:t>
      </w:r>
      <w:r w:rsidR="00AD1280" w:rsidRPr="000E56A6">
        <w:rPr>
          <w:rFonts w:asciiTheme="minorHAnsi" w:hAnsiTheme="minorHAnsi"/>
          <w:bCs/>
          <w:iCs/>
          <w:szCs w:val="24"/>
        </w:rPr>
        <w:t xml:space="preserve">§483.70(e)(3) </w:t>
      </w:r>
      <w:r w:rsidR="00AD1280">
        <w:rPr>
          <w:rFonts w:asciiTheme="minorHAnsi" w:hAnsiTheme="minorHAnsi"/>
          <w:bCs/>
          <w:iCs/>
          <w:szCs w:val="24"/>
        </w:rPr>
        <w:t xml:space="preserve">the </w:t>
      </w:r>
      <w:r>
        <w:rPr>
          <w:rFonts w:asciiTheme="minorHAnsi" w:hAnsiTheme="minorHAnsi"/>
          <w:iCs/>
          <w:szCs w:val="24"/>
        </w:rPr>
        <w:t xml:space="preserve">facility </w:t>
      </w:r>
      <w:r w:rsidRPr="001E4A02">
        <w:rPr>
          <w:rFonts w:asciiTheme="minorHAnsi" w:hAnsiTheme="minorHAnsi"/>
          <w:iCs/>
          <w:szCs w:val="24"/>
        </w:rPr>
        <w:t xml:space="preserve">assessment must </w:t>
      </w:r>
      <w:r w:rsidRPr="00736D86">
        <w:rPr>
          <w:rFonts w:asciiTheme="minorHAnsi" w:hAnsiTheme="minorHAnsi"/>
          <w:iCs/>
          <w:szCs w:val="24"/>
        </w:rPr>
        <w:t xml:space="preserve">include or address </w:t>
      </w:r>
      <w:proofErr w:type="gramStart"/>
      <w:r w:rsidRPr="00736D86">
        <w:rPr>
          <w:rFonts w:asciiTheme="minorHAnsi" w:hAnsiTheme="minorHAnsi"/>
          <w:iCs/>
          <w:szCs w:val="24"/>
        </w:rPr>
        <w:t>an</w:t>
      </w:r>
      <w:proofErr w:type="gramEnd"/>
      <w:r w:rsidR="00AD1280" w:rsidRPr="00AD1280">
        <w:rPr>
          <w:rFonts w:asciiTheme="minorHAnsi" w:hAnsiTheme="minorHAnsi"/>
          <w:bCs/>
          <w:iCs/>
          <w:szCs w:val="24"/>
        </w:rPr>
        <w:t xml:space="preserve"> </w:t>
      </w:r>
      <w:r w:rsidR="00AD1280" w:rsidRPr="000E56A6">
        <w:rPr>
          <w:rFonts w:asciiTheme="minorHAnsi" w:hAnsiTheme="minorHAnsi"/>
          <w:bCs/>
          <w:iCs/>
          <w:szCs w:val="24"/>
        </w:rPr>
        <w:t xml:space="preserve">facility-based and community-based risk assessment, utilizing an </w:t>
      </w:r>
      <w:r w:rsidR="00AD1280">
        <w:rPr>
          <w:rFonts w:asciiTheme="minorHAnsi" w:hAnsiTheme="minorHAnsi"/>
          <w:bCs/>
          <w:iCs/>
          <w:szCs w:val="24"/>
        </w:rPr>
        <w:t xml:space="preserve">all-hazards approach.  </w:t>
      </w:r>
      <w:r>
        <w:rPr>
          <w:rFonts w:asciiTheme="minorHAnsi" w:hAnsiTheme="minorHAnsi"/>
          <w:iCs/>
          <w:szCs w:val="24"/>
        </w:rPr>
        <w:t>Therefore, i</w:t>
      </w:r>
      <w:r w:rsidR="00276EDF">
        <w:rPr>
          <w:rFonts w:asciiTheme="minorHAnsi" w:hAnsiTheme="minorHAnsi" w:cs="Segoe UI"/>
          <w:bCs/>
          <w:szCs w:val="24"/>
        </w:rPr>
        <w:t>t is important to:</w:t>
      </w:r>
    </w:p>
    <w:p w:rsidR="00276EDF" w:rsidRDefault="00736D86" w:rsidP="0091732B">
      <w:pPr>
        <w:pStyle w:val="ListParagraph"/>
        <w:numPr>
          <w:ilvl w:val="0"/>
          <w:numId w:val="3"/>
        </w:numPr>
        <w:textAlignment w:val="baseline"/>
        <w:rPr>
          <w:rFonts w:asciiTheme="minorHAnsi" w:hAnsiTheme="minorHAnsi" w:cs="Segoe UI"/>
          <w:bCs/>
          <w:szCs w:val="24"/>
        </w:rPr>
      </w:pPr>
      <w:r>
        <w:rPr>
          <w:rFonts w:asciiTheme="minorHAnsi" w:hAnsiTheme="minorHAnsi" w:cs="Segoe UI"/>
          <w:bCs/>
          <w:szCs w:val="24"/>
        </w:rPr>
        <w:t xml:space="preserve">Gather the outcomes data related to </w:t>
      </w:r>
      <w:r w:rsidR="00AD1280">
        <w:rPr>
          <w:rFonts w:asciiTheme="minorHAnsi" w:hAnsiTheme="minorHAnsi" w:cs="Segoe UI"/>
          <w:bCs/>
          <w:szCs w:val="24"/>
        </w:rPr>
        <w:t>the all hazards approach risk assessment</w:t>
      </w:r>
      <w:r w:rsidR="00276EDF">
        <w:rPr>
          <w:rFonts w:asciiTheme="minorHAnsi" w:hAnsiTheme="minorHAnsi" w:cs="Segoe UI"/>
          <w:bCs/>
          <w:szCs w:val="24"/>
        </w:rPr>
        <w:t xml:space="preserve"> as described above. </w:t>
      </w:r>
    </w:p>
    <w:p w:rsidR="002C456A" w:rsidRDefault="002C456A" w:rsidP="002C456A">
      <w:pPr>
        <w:pStyle w:val="ListParagraph"/>
        <w:ind w:left="1080"/>
        <w:textAlignment w:val="baseline"/>
        <w:rPr>
          <w:rFonts w:asciiTheme="minorHAnsi" w:hAnsiTheme="minorHAnsi" w:cs="Segoe UI"/>
          <w:bCs/>
          <w:szCs w:val="24"/>
        </w:rPr>
      </w:pPr>
    </w:p>
    <w:p w:rsidR="00736D86" w:rsidRDefault="00276EDF" w:rsidP="0091732B">
      <w:pPr>
        <w:pStyle w:val="ListParagraph"/>
        <w:numPr>
          <w:ilvl w:val="0"/>
          <w:numId w:val="3"/>
        </w:numPr>
        <w:textAlignment w:val="baseline"/>
        <w:rPr>
          <w:rFonts w:asciiTheme="minorHAnsi" w:hAnsiTheme="minorHAnsi" w:cs="Segoe UI"/>
          <w:bCs/>
          <w:szCs w:val="24"/>
        </w:rPr>
      </w:pPr>
      <w:r>
        <w:rPr>
          <w:rFonts w:asciiTheme="minorHAnsi" w:hAnsiTheme="minorHAnsi" w:cs="Segoe UI"/>
          <w:bCs/>
          <w:szCs w:val="24"/>
        </w:rPr>
        <w:t>Use the information to answer the questions</w:t>
      </w:r>
      <w:r w:rsidR="00736D86">
        <w:rPr>
          <w:rFonts w:asciiTheme="minorHAnsi" w:hAnsiTheme="minorHAnsi" w:cs="Segoe UI"/>
          <w:bCs/>
          <w:szCs w:val="24"/>
        </w:rPr>
        <w:t>:</w:t>
      </w:r>
    </w:p>
    <w:p w:rsidR="000E56A6" w:rsidRDefault="00BB1715" w:rsidP="000E56A6">
      <w:pPr>
        <w:pStyle w:val="ListParagraph"/>
        <w:numPr>
          <w:ilvl w:val="1"/>
          <w:numId w:val="3"/>
        </w:numPr>
        <w:textAlignment w:val="baseline"/>
        <w:rPr>
          <w:rFonts w:asciiTheme="minorHAnsi" w:hAnsiTheme="minorHAnsi" w:cs="Segoe UI"/>
          <w:bCs/>
          <w:szCs w:val="24"/>
        </w:rPr>
      </w:pPr>
      <w:r>
        <w:rPr>
          <w:rFonts w:asciiTheme="minorHAnsi" w:hAnsiTheme="minorHAnsi" w:cs="Segoe UI"/>
          <w:bCs/>
          <w:szCs w:val="24"/>
        </w:rPr>
        <w:t xml:space="preserve">Has the facility identified potential hazards that may impede </w:t>
      </w:r>
      <w:r w:rsidR="00A66572">
        <w:rPr>
          <w:rFonts w:asciiTheme="minorHAnsi" w:hAnsiTheme="minorHAnsi" w:cs="Segoe UI"/>
          <w:bCs/>
          <w:szCs w:val="24"/>
        </w:rPr>
        <w:t xml:space="preserve">resident care delivery, </w:t>
      </w:r>
      <w:r>
        <w:rPr>
          <w:rFonts w:asciiTheme="minorHAnsi" w:hAnsiTheme="minorHAnsi" w:cs="Segoe UI"/>
          <w:bCs/>
          <w:szCs w:val="24"/>
        </w:rPr>
        <w:t>day to day operations or operations during an emergency situation?</w:t>
      </w:r>
    </w:p>
    <w:p w:rsidR="00A66572" w:rsidRPr="00A66572" w:rsidRDefault="00A66572" w:rsidP="00442F23">
      <w:pPr>
        <w:pStyle w:val="ListParagraph"/>
        <w:numPr>
          <w:ilvl w:val="1"/>
          <w:numId w:val="3"/>
        </w:numPr>
        <w:textAlignment w:val="baseline"/>
        <w:rPr>
          <w:rFonts w:asciiTheme="minorHAnsi" w:hAnsiTheme="minorHAnsi" w:cs="Segoe UI"/>
          <w:bCs/>
          <w:szCs w:val="24"/>
        </w:rPr>
      </w:pPr>
      <w:r w:rsidRPr="00A66572">
        <w:rPr>
          <w:rFonts w:asciiTheme="minorHAnsi" w:hAnsiTheme="minorHAnsi" w:cs="Segoe UI"/>
          <w:bCs/>
          <w:szCs w:val="24"/>
        </w:rPr>
        <w:t>Has the faci</w:t>
      </w:r>
      <w:r>
        <w:rPr>
          <w:rFonts w:asciiTheme="minorHAnsi" w:hAnsiTheme="minorHAnsi" w:cs="Segoe UI"/>
          <w:bCs/>
          <w:szCs w:val="24"/>
        </w:rPr>
        <w:t xml:space="preserve">lity identified potential vulnerabilities </w:t>
      </w:r>
      <w:r w:rsidRPr="00A66572">
        <w:rPr>
          <w:rFonts w:asciiTheme="minorHAnsi" w:hAnsiTheme="minorHAnsi" w:cs="Segoe UI"/>
          <w:bCs/>
          <w:szCs w:val="24"/>
        </w:rPr>
        <w:t xml:space="preserve">that may impede </w:t>
      </w:r>
      <w:r>
        <w:rPr>
          <w:rFonts w:asciiTheme="minorHAnsi" w:hAnsiTheme="minorHAnsi" w:cs="Segoe UI"/>
          <w:bCs/>
          <w:szCs w:val="24"/>
        </w:rPr>
        <w:t>resident care delivery, day to day operations or operations during an emergency situation</w:t>
      </w:r>
    </w:p>
    <w:p w:rsidR="00F27155" w:rsidRDefault="00A66572" w:rsidP="000E56A6">
      <w:pPr>
        <w:pStyle w:val="ListParagraph"/>
        <w:numPr>
          <w:ilvl w:val="1"/>
          <w:numId w:val="3"/>
        </w:numPr>
        <w:textAlignment w:val="baseline"/>
        <w:rPr>
          <w:rFonts w:asciiTheme="minorHAnsi" w:hAnsiTheme="minorHAnsi" w:cs="Segoe UI"/>
          <w:bCs/>
          <w:szCs w:val="24"/>
        </w:rPr>
      </w:pPr>
      <w:r>
        <w:rPr>
          <w:rFonts w:asciiTheme="minorHAnsi" w:hAnsiTheme="minorHAnsi" w:cs="Segoe UI"/>
          <w:bCs/>
          <w:szCs w:val="24"/>
        </w:rPr>
        <w:lastRenderedPageBreak/>
        <w:t>Has the facility determined the business impact of an emergency and incorporated a plan into the Emergency Preparedness Plan?</w:t>
      </w:r>
    </w:p>
    <w:p w:rsidR="00BB1715" w:rsidRPr="002C456A" w:rsidRDefault="00F27155" w:rsidP="000E56A6">
      <w:pPr>
        <w:pStyle w:val="ListParagraph"/>
        <w:numPr>
          <w:ilvl w:val="1"/>
          <w:numId w:val="3"/>
        </w:numPr>
        <w:textAlignment w:val="baseline"/>
        <w:rPr>
          <w:rFonts w:asciiTheme="minorHAnsi" w:hAnsiTheme="minorHAnsi" w:cs="Segoe UI"/>
          <w:bCs/>
          <w:szCs w:val="24"/>
        </w:rPr>
      </w:pPr>
      <w:r>
        <w:rPr>
          <w:rFonts w:asciiTheme="minorHAnsi" w:hAnsiTheme="minorHAnsi" w:cs="Segoe UI"/>
          <w:bCs/>
          <w:szCs w:val="24"/>
        </w:rPr>
        <w:t xml:space="preserve">Has the </w:t>
      </w:r>
      <w:r w:rsidR="00845990">
        <w:rPr>
          <w:rFonts w:asciiTheme="minorHAnsi" w:hAnsiTheme="minorHAnsi" w:cs="Segoe UI"/>
          <w:bCs/>
          <w:szCs w:val="24"/>
        </w:rPr>
        <w:t>facility identified</w:t>
      </w:r>
      <w:r>
        <w:rPr>
          <w:rFonts w:asciiTheme="minorHAnsi" w:hAnsiTheme="minorHAnsi" w:cs="Segoe UI"/>
          <w:bCs/>
          <w:szCs w:val="24"/>
        </w:rPr>
        <w:t xml:space="preserve"> the </w:t>
      </w:r>
      <w:r w:rsidRPr="00880BE2">
        <w:rPr>
          <w:rFonts w:asciiTheme="minorHAnsi" w:hAnsiTheme="minorHAnsi"/>
        </w:rPr>
        <w:t>resource or knowledge gaps</w:t>
      </w:r>
      <w:r>
        <w:rPr>
          <w:rFonts w:asciiTheme="minorHAnsi" w:hAnsiTheme="minorHAnsi"/>
        </w:rPr>
        <w:t xml:space="preserve"> and </w:t>
      </w:r>
      <w:r w:rsidRPr="00880BE2">
        <w:rPr>
          <w:rFonts w:asciiTheme="minorHAnsi" w:hAnsiTheme="minorHAnsi"/>
        </w:rPr>
        <w:t>correlate the findings with the Facility Assessment and complete the Emergency Preparedness Plan</w:t>
      </w:r>
      <w:r>
        <w:rPr>
          <w:rFonts w:asciiTheme="minorHAnsi" w:hAnsiTheme="minorHAnsi"/>
        </w:rPr>
        <w:t>?</w:t>
      </w:r>
    </w:p>
    <w:p w:rsidR="002C456A" w:rsidRDefault="002C456A" w:rsidP="002C456A">
      <w:pPr>
        <w:pStyle w:val="ListParagraph"/>
        <w:ind w:left="1800"/>
        <w:textAlignment w:val="baseline"/>
        <w:rPr>
          <w:rFonts w:asciiTheme="minorHAnsi" w:hAnsiTheme="minorHAnsi" w:cs="Segoe UI"/>
          <w:bCs/>
          <w:szCs w:val="24"/>
        </w:rPr>
      </w:pPr>
    </w:p>
    <w:p w:rsidR="00736D86" w:rsidRPr="002C456A" w:rsidRDefault="00276EDF" w:rsidP="0091732B">
      <w:pPr>
        <w:pStyle w:val="ListParagraph"/>
        <w:numPr>
          <w:ilvl w:val="0"/>
          <w:numId w:val="4"/>
        </w:numPr>
        <w:textAlignment w:val="baseline"/>
        <w:rPr>
          <w:rFonts w:asciiTheme="minorHAnsi" w:eastAsiaTheme="minorHAnsi" w:hAnsiTheme="minorHAnsi"/>
          <w:bCs/>
          <w:color w:val="000000"/>
          <w:szCs w:val="24"/>
        </w:rPr>
      </w:pPr>
      <w:r w:rsidRPr="00736D86">
        <w:rPr>
          <w:rFonts w:asciiTheme="minorHAnsi" w:hAnsiTheme="minorHAnsi" w:cs="Segoe UI"/>
          <w:bCs/>
          <w:szCs w:val="24"/>
        </w:rPr>
        <w:t xml:space="preserve">Incorporate your processes into your </w:t>
      </w:r>
      <w:proofErr w:type="spellStart"/>
      <w:r w:rsidRPr="00736D86">
        <w:rPr>
          <w:rFonts w:asciiTheme="minorHAnsi" w:hAnsiTheme="minorHAnsi" w:cs="Segoe UI"/>
          <w:bCs/>
          <w:szCs w:val="24"/>
        </w:rPr>
        <w:t>QAPI</w:t>
      </w:r>
      <w:proofErr w:type="spellEnd"/>
      <w:r w:rsidRPr="00736D86">
        <w:rPr>
          <w:rFonts w:asciiTheme="minorHAnsi" w:hAnsiTheme="minorHAnsi" w:cs="Segoe UI"/>
          <w:bCs/>
          <w:szCs w:val="24"/>
        </w:rPr>
        <w:t xml:space="preserve"> plan</w:t>
      </w:r>
      <w:r w:rsidR="002C456A">
        <w:rPr>
          <w:rFonts w:asciiTheme="minorHAnsi" w:hAnsiTheme="minorHAnsi" w:cs="Segoe UI"/>
          <w:bCs/>
          <w:szCs w:val="24"/>
        </w:rPr>
        <w:t>.</w:t>
      </w:r>
    </w:p>
    <w:p w:rsidR="002C456A" w:rsidRPr="00736D86" w:rsidRDefault="002C456A" w:rsidP="002C456A">
      <w:pPr>
        <w:pStyle w:val="ListParagraph"/>
        <w:ind w:left="1080"/>
        <w:textAlignment w:val="baseline"/>
        <w:rPr>
          <w:rFonts w:asciiTheme="minorHAnsi" w:eastAsiaTheme="minorHAnsi" w:hAnsiTheme="minorHAnsi"/>
          <w:bCs/>
          <w:color w:val="000000"/>
          <w:szCs w:val="24"/>
        </w:rPr>
      </w:pPr>
    </w:p>
    <w:p w:rsidR="002C456A" w:rsidRPr="002C456A" w:rsidRDefault="00276EDF" w:rsidP="002C456A">
      <w:pPr>
        <w:pStyle w:val="ListParagraph"/>
        <w:numPr>
          <w:ilvl w:val="0"/>
          <w:numId w:val="4"/>
        </w:numPr>
        <w:textAlignment w:val="baseline"/>
        <w:rPr>
          <w:rFonts w:asciiTheme="minorHAnsi" w:eastAsiaTheme="minorHAnsi" w:hAnsiTheme="minorHAnsi"/>
          <w:bCs/>
          <w:color w:val="000000"/>
          <w:szCs w:val="24"/>
        </w:rPr>
      </w:pPr>
      <w:r w:rsidRPr="00736D86">
        <w:rPr>
          <w:rFonts w:asciiTheme="minorHAnsi" w:hAnsiTheme="minorHAnsi" w:cs="Segoe UI"/>
          <w:bCs/>
          <w:szCs w:val="24"/>
        </w:rPr>
        <w:t xml:space="preserve">Monitor the facility </w:t>
      </w:r>
      <w:r w:rsidR="00736D86" w:rsidRPr="00736D86">
        <w:rPr>
          <w:rFonts w:asciiTheme="minorHAnsi" w:hAnsiTheme="minorHAnsi" w:cs="Segoe UI"/>
          <w:bCs/>
          <w:szCs w:val="24"/>
        </w:rPr>
        <w:t xml:space="preserve">assessment annually or </w:t>
      </w:r>
      <w:r w:rsidR="00736D86" w:rsidRPr="00736D86">
        <w:rPr>
          <w:rFonts w:asciiTheme="minorHAnsi" w:eastAsiaTheme="minorHAnsi" w:hAnsiTheme="minorHAnsi"/>
          <w:bCs/>
          <w:color w:val="000000"/>
          <w:szCs w:val="24"/>
        </w:rPr>
        <w:t>upon a change in the facility’s operation that would require a substantial modification in the assessment</w:t>
      </w:r>
      <w:r w:rsidR="00736D86">
        <w:rPr>
          <w:rFonts w:asciiTheme="minorHAnsi" w:eastAsiaTheme="minorHAnsi" w:hAnsiTheme="minorHAnsi"/>
          <w:bCs/>
          <w:color w:val="000000"/>
          <w:szCs w:val="24"/>
        </w:rPr>
        <w:t xml:space="preserve"> and adjust the facility training plan accordingly</w:t>
      </w:r>
      <w:r w:rsidR="00736D86" w:rsidRPr="00736D86">
        <w:rPr>
          <w:rFonts w:asciiTheme="minorHAnsi" w:eastAsiaTheme="minorHAnsi" w:hAnsiTheme="minorHAnsi"/>
          <w:bCs/>
          <w:color w:val="000000"/>
          <w:szCs w:val="24"/>
        </w:rPr>
        <w:t xml:space="preserve">. </w:t>
      </w:r>
    </w:p>
    <w:p w:rsidR="002C456A" w:rsidRPr="00736D86" w:rsidRDefault="002C456A" w:rsidP="002C456A">
      <w:pPr>
        <w:pStyle w:val="ListParagraph"/>
        <w:ind w:left="1080"/>
        <w:textAlignment w:val="baseline"/>
        <w:rPr>
          <w:rFonts w:asciiTheme="minorHAnsi" w:eastAsiaTheme="minorHAnsi" w:hAnsiTheme="minorHAnsi"/>
          <w:bCs/>
          <w:color w:val="000000"/>
          <w:szCs w:val="24"/>
        </w:rPr>
      </w:pPr>
    </w:p>
    <w:p w:rsidR="00276EDF" w:rsidRDefault="008D3679" w:rsidP="0091732B">
      <w:pPr>
        <w:pStyle w:val="ListParagraph"/>
        <w:numPr>
          <w:ilvl w:val="0"/>
          <w:numId w:val="3"/>
        </w:numPr>
        <w:textAlignment w:val="baseline"/>
        <w:rPr>
          <w:rFonts w:asciiTheme="minorHAnsi" w:hAnsiTheme="minorHAnsi" w:cs="Segoe UI"/>
          <w:bCs/>
          <w:szCs w:val="24"/>
        </w:rPr>
      </w:pPr>
      <w:r>
        <w:rPr>
          <w:rFonts w:asciiTheme="minorHAnsi" w:hAnsiTheme="minorHAnsi" w:cs="Segoe UI"/>
          <w:bCs/>
          <w:szCs w:val="24"/>
        </w:rPr>
        <w:t xml:space="preserve">Write a narrative description of the facility’s </w:t>
      </w:r>
      <w:r w:rsidR="00F27155">
        <w:rPr>
          <w:rFonts w:asciiTheme="minorHAnsi" w:hAnsiTheme="minorHAnsi" w:cs="Segoe UI"/>
          <w:bCs/>
          <w:szCs w:val="24"/>
        </w:rPr>
        <w:t>facility-based and community-based risk assessment</w:t>
      </w:r>
      <w:r>
        <w:rPr>
          <w:rFonts w:asciiTheme="minorHAnsi" w:hAnsiTheme="minorHAnsi" w:cs="Segoe UI"/>
          <w:bCs/>
          <w:szCs w:val="24"/>
        </w:rPr>
        <w:t xml:space="preserve"> for inclusion, see below, into the narrative Facility Assessment.  See the Facility Assessment Template</w:t>
      </w:r>
      <w:r w:rsidR="00F27155">
        <w:rPr>
          <w:rFonts w:asciiTheme="minorHAnsi" w:hAnsiTheme="minorHAnsi" w:cs="Segoe UI"/>
          <w:bCs/>
          <w:szCs w:val="24"/>
        </w:rPr>
        <w:t>.</w:t>
      </w:r>
    </w:p>
    <w:p w:rsidR="002C456A" w:rsidRDefault="002C456A" w:rsidP="002C456A">
      <w:pPr>
        <w:pStyle w:val="ListParagraph"/>
        <w:ind w:left="1080"/>
        <w:textAlignment w:val="baseline"/>
        <w:rPr>
          <w:rFonts w:asciiTheme="minorHAnsi" w:hAnsiTheme="minorHAnsi" w:cs="Segoe UI"/>
          <w:bCs/>
          <w:szCs w:val="24"/>
        </w:rPr>
      </w:pPr>
    </w:p>
    <w:p w:rsidR="00F27155" w:rsidRPr="00F27155" w:rsidRDefault="00F27155" w:rsidP="0091732B">
      <w:pPr>
        <w:pStyle w:val="ListParagraph"/>
        <w:numPr>
          <w:ilvl w:val="0"/>
          <w:numId w:val="3"/>
        </w:numPr>
        <w:textAlignment w:val="baseline"/>
        <w:rPr>
          <w:rFonts w:asciiTheme="minorHAnsi" w:hAnsiTheme="minorHAnsi" w:cs="Segoe UI"/>
          <w:bCs/>
          <w:szCs w:val="24"/>
        </w:rPr>
      </w:pPr>
      <w:r>
        <w:rPr>
          <w:rFonts w:asciiTheme="minorHAnsi" w:hAnsiTheme="minorHAnsi" w:cs="Segoe UI"/>
          <w:bCs/>
          <w:szCs w:val="24"/>
        </w:rPr>
        <w:t xml:space="preserve">It is acceptable to refer to the risk assessment including in the emergency preparedness plan pursuant </w:t>
      </w:r>
      <w:r w:rsidRPr="00F27155">
        <w:rPr>
          <w:rFonts w:asciiTheme="minorHAnsi" w:hAnsiTheme="minorHAnsi" w:cs="Segoe UI"/>
          <w:bCs/>
          <w:szCs w:val="24"/>
          <w:shd w:val="clear" w:color="auto" w:fill="FFFFFF" w:themeFill="background1"/>
        </w:rPr>
        <w:t>to</w:t>
      </w:r>
      <w:r>
        <w:rPr>
          <w:rFonts w:asciiTheme="minorHAnsi" w:hAnsiTheme="minorHAnsi" w:cs="Segoe UI"/>
          <w:bCs/>
          <w:szCs w:val="24"/>
          <w:shd w:val="clear" w:color="auto" w:fill="FFFFFF" w:themeFill="background1"/>
        </w:rPr>
        <w:t xml:space="preserve"> 483.75</w:t>
      </w:r>
    </w:p>
    <w:p w:rsidR="00F27155" w:rsidRDefault="00F27155" w:rsidP="00F27155">
      <w:pPr>
        <w:pStyle w:val="ListParagraph"/>
        <w:ind w:left="1080"/>
        <w:textAlignment w:val="baseline"/>
        <w:rPr>
          <w:rFonts w:asciiTheme="minorHAnsi" w:hAnsiTheme="minorHAnsi" w:cs="Segoe UI"/>
          <w:bCs/>
          <w:szCs w:val="24"/>
        </w:rPr>
      </w:pPr>
    </w:p>
    <w:p w:rsidR="00276EDF" w:rsidRDefault="00276EDF" w:rsidP="00276EDF">
      <w:pPr>
        <w:jc w:val="center"/>
        <w:textAlignment w:val="baseline"/>
        <w:rPr>
          <w:rFonts w:asciiTheme="minorHAnsi" w:hAnsiTheme="minorHAnsi" w:cs="Segoe UI"/>
          <w:b/>
          <w:bCs/>
          <w:szCs w:val="24"/>
        </w:rPr>
      </w:pPr>
    </w:p>
    <w:p w:rsidR="008B3DBE" w:rsidRDefault="008B3DBE" w:rsidP="008B3DBE">
      <w:pPr>
        <w:jc w:val="center"/>
        <w:textAlignment w:val="baseline"/>
        <w:rPr>
          <w:rFonts w:asciiTheme="minorHAnsi" w:hAnsiTheme="minorHAnsi" w:cs="Segoe UI"/>
          <w:b/>
          <w:bCs/>
          <w:szCs w:val="24"/>
        </w:rPr>
      </w:pPr>
      <w:r>
        <w:rPr>
          <w:rFonts w:asciiTheme="minorHAnsi" w:hAnsiTheme="minorHAnsi" w:cs="Segoe UI"/>
          <w:b/>
          <w:bCs/>
          <w:szCs w:val="24"/>
        </w:rPr>
        <w:t xml:space="preserve">See the Facility Assessment Template SAMPLE related to the inclusion of the necessary information obtained via this process for the completion of the Facility Assessment. </w:t>
      </w: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276EDF" w:rsidRPr="002C456A" w:rsidRDefault="00276EDF" w:rsidP="00276EDF">
      <w:pPr>
        <w:rPr>
          <w:rFonts w:asciiTheme="minorHAnsi" w:hAnsiTheme="minorHAnsi"/>
          <w:b/>
          <w:sz w:val="22"/>
          <w:szCs w:val="22"/>
        </w:rPr>
      </w:pPr>
      <w:r w:rsidRPr="002C456A">
        <w:rPr>
          <w:rFonts w:asciiTheme="minorHAnsi" w:hAnsiTheme="minorHAnsi"/>
          <w:b/>
          <w:sz w:val="22"/>
          <w:szCs w:val="22"/>
        </w:rPr>
        <w:t>References</w:t>
      </w:r>
    </w:p>
    <w:p w:rsidR="00276EDF" w:rsidRPr="002C456A" w:rsidRDefault="00276EDF" w:rsidP="00276EDF">
      <w:pPr>
        <w:rPr>
          <w:rFonts w:asciiTheme="minorHAnsi" w:hAnsiTheme="minorHAnsi"/>
          <w:sz w:val="22"/>
          <w:szCs w:val="22"/>
        </w:rPr>
      </w:pPr>
    </w:p>
    <w:p w:rsidR="00276EDF" w:rsidRPr="002C456A" w:rsidRDefault="00276EDF" w:rsidP="00276EDF">
      <w:pPr>
        <w:rPr>
          <w:rFonts w:asciiTheme="minorHAnsi" w:hAnsiTheme="minorHAnsi" w:cs="Arial"/>
          <w:b/>
          <w:sz w:val="22"/>
          <w:szCs w:val="22"/>
        </w:rPr>
      </w:pPr>
      <w:r w:rsidRPr="002C456A">
        <w:rPr>
          <w:rFonts w:asciiTheme="minorHAnsi" w:eastAsiaTheme="minorHAnsi" w:hAnsiTheme="minorHAnsi"/>
          <w:b/>
          <w:bCs/>
          <w:color w:val="000000"/>
          <w:sz w:val="22"/>
          <w:szCs w:val="22"/>
        </w:rPr>
        <w:t>State Operations Manual (SOM) Appendix PP for Phase 2, F-Tag Revisions, and Related Issues</w:t>
      </w:r>
    </w:p>
    <w:p w:rsidR="00276EDF" w:rsidRPr="002C456A" w:rsidRDefault="002C456A" w:rsidP="00276EDF">
      <w:pPr>
        <w:rPr>
          <w:rFonts w:asciiTheme="minorHAnsi" w:hAnsiTheme="minorHAnsi" w:cs="Arial"/>
          <w:sz w:val="22"/>
          <w:szCs w:val="22"/>
        </w:rPr>
      </w:pPr>
      <w:hyperlink r:id="rId10" w:history="1">
        <w:r w:rsidR="00276EDF" w:rsidRPr="002C456A">
          <w:rPr>
            <w:rStyle w:val="Hyperlink"/>
            <w:rFonts w:asciiTheme="minorHAnsi" w:hAnsiTheme="minorHAnsi" w:cs="Arial"/>
            <w:sz w:val="22"/>
            <w:szCs w:val="22"/>
          </w:rPr>
          <w:t>www.cms.gov/Medicare/Provider-Enrollment-and-Certification/GuidanceforLawsAndRegulations/Downloads/Advance-Appendix-PP-Including-Phase-2-.pdf</w:t>
        </w:r>
      </w:hyperlink>
      <w:r w:rsidR="00276EDF" w:rsidRPr="002C456A">
        <w:rPr>
          <w:rFonts w:asciiTheme="minorHAnsi" w:hAnsiTheme="minorHAnsi" w:cs="Arial"/>
          <w:sz w:val="22"/>
          <w:szCs w:val="22"/>
        </w:rPr>
        <w:t xml:space="preserve"> </w:t>
      </w:r>
    </w:p>
    <w:p w:rsidR="00083BDB" w:rsidRPr="002C456A" w:rsidRDefault="00083BDB" w:rsidP="00083BDB">
      <w:pPr>
        <w:shd w:val="clear" w:color="auto" w:fill="FFFFFF"/>
        <w:spacing w:after="270" w:line="270" w:lineRule="atLeast"/>
        <w:rPr>
          <w:rFonts w:asciiTheme="minorHAnsi" w:hAnsiTheme="minorHAnsi" w:cs="Helvetica"/>
          <w:sz w:val="22"/>
          <w:szCs w:val="22"/>
        </w:rPr>
      </w:pPr>
    </w:p>
    <w:p w:rsidR="00F27155" w:rsidRPr="002C456A" w:rsidRDefault="00F27155" w:rsidP="00083BDB">
      <w:pPr>
        <w:shd w:val="clear" w:color="auto" w:fill="FFFFFF"/>
        <w:spacing w:after="270" w:line="270" w:lineRule="atLeast"/>
        <w:rPr>
          <w:rFonts w:asciiTheme="minorHAnsi" w:hAnsiTheme="minorHAnsi" w:cs="Helvetica"/>
          <w:sz w:val="22"/>
          <w:szCs w:val="22"/>
        </w:rPr>
      </w:pPr>
      <w:r w:rsidRPr="002C456A">
        <w:rPr>
          <w:rFonts w:asciiTheme="minorHAnsi" w:hAnsiTheme="minorHAnsi" w:cs="Helvetica"/>
          <w:b/>
          <w:sz w:val="22"/>
          <w:szCs w:val="22"/>
        </w:rPr>
        <w:t xml:space="preserve">CMS Ref:  S&amp;C 17-29-ALL Advanced Copy – Appendix Z, Emergency Preparedness Final Rule Interpretive Guidelines and Survey Procedures </w:t>
      </w:r>
      <w:hyperlink r:id="rId11" w:history="1">
        <w:r w:rsidRPr="002C456A">
          <w:rPr>
            <w:rStyle w:val="Hyperlink"/>
            <w:rFonts w:asciiTheme="minorHAnsi" w:hAnsiTheme="minorHAnsi" w:cs="Helvetica"/>
            <w:sz w:val="22"/>
            <w:szCs w:val="22"/>
          </w:rPr>
          <w:t>https://www.cms.gov/Medicare/Provider-Enrollment-and-Certification/SurveyCertificationGenInfo/Downloads/Survey-and-Cert-Letter-17-29.pdf</w:t>
        </w:r>
      </w:hyperlink>
      <w:r w:rsidRPr="002C456A">
        <w:rPr>
          <w:rFonts w:asciiTheme="minorHAnsi" w:hAnsiTheme="minorHAnsi" w:cs="Helvetica"/>
          <w:sz w:val="22"/>
          <w:szCs w:val="22"/>
        </w:rPr>
        <w:t xml:space="preserve"> </w:t>
      </w:r>
    </w:p>
    <w:p w:rsidR="00C40438" w:rsidRPr="002C456A" w:rsidRDefault="00C40438" w:rsidP="00083BDB">
      <w:pPr>
        <w:shd w:val="clear" w:color="auto" w:fill="FFFFFF"/>
        <w:spacing w:after="270" w:line="270" w:lineRule="atLeast"/>
        <w:rPr>
          <w:rFonts w:asciiTheme="minorHAnsi" w:hAnsiTheme="minorHAnsi" w:cs="Helvetica"/>
          <w:sz w:val="22"/>
          <w:szCs w:val="22"/>
        </w:rPr>
      </w:pPr>
      <w:r w:rsidRPr="002C456A">
        <w:rPr>
          <w:rFonts w:asciiTheme="minorHAnsi" w:hAnsiTheme="minorHAnsi" w:cs="Helvetica"/>
          <w:b/>
          <w:sz w:val="22"/>
          <w:szCs w:val="22"/>
        </w:rPr>
        <w:t>Quality Improvement Organizations, Facility Assessment Tool (2017),</w:t>
      </w:r>
      <w:r w:rsidRPr="002C456A">
        <w:rPr>
          <w:rFonts w:asciiTheme="minorHAnsi" w:hAnsiTheme="minorHAnsi" w:cs="Helvetica"/>
          <w:sz w:val="22"/>
          <w:szCs w:val="22"/>
        </w:rPr>
        <w:t xml:space="preserve">  </w:t>
      </w:r>
      <w:hyperlink r:id="rId12" w:history="1">
        <w:r w:rsidR="008B3DBE" w:rsidRPr="002C456A">
          <w:rPr>
            <w:rStyle w:val="Hyperlink"/>
            <w:rFonts w:asciiTheme="minorHAnsi" w:hAnsiTheme="minorHAnsi" w:cs="Helvetica"/>
            <w:sz w:val="22"/>
            <w:szCs w:val="22"/>
          </w:rPr>
          <w:t>http://qioprogram.org/facility-assessment-tool</w:t>
        </w:r>
      </w:hyperlink>
      <w:r w:rsidRPr="002C456A">
        <w:rPr>
          <w:rFonts w:asciiTheme="minorHAnsi" w:hAnsiTheme="minorHAnsi" w:cs="Helvetica"/>
          <w:sz w:val="22"/>
          <w:szCs w:val="22"/>
        </w:rPr>
        <w:t xml:space="preserve"> </w:t>
      </w:r>
      <w:bookmarkStart w:id="0" w:name="_GoBack"/>
      <w:bookmarkEnd w:id="0"/>
    </w:p>
    <w:sectPr w:rsidR="00C40438" w:rsidRPr="002C456A" w:rsidSect="00DE7AF9">
      <w:headerReference w:type="default" r:id="rId13"/>
      <w:footerReference w:type="default" r:id="rId14"/>
      <w:head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2C" w:rsidRDefault="007E3A2C" w:rsidP="00FE158D">
      <w:r>
        <w:separator/>
      </w:r>
    </w:p>
  </w:endnote>
  <w:endnote w:type="continuationSeparator" w:id="0">
    <w:p w:rsidR="007E3A2C" w:rsidRDefault="007E3A2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2C456A" w:rsidRPr="00061AB8" w:rsidRDefault="002C456A" w:rsidP="002C456A">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2C456A" w:rsidRPr="00061AB8" w:rsidRDefault="002C456A" w:rsidP="002C456A">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185739" w:rsidRPr="002C456A" w:rsidRDefault="002C456A" w:rsidP="002C456A">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The </w:t>
    </w:r>
    <w:proofErr w:type="spellStart"/>
    <w:r w:rsidRPr="00061AB8">
      <w:rPr>
        <w:rFonts w:ascii="Calibri" w:eastAsia="Calibri" w:hAnsi="Calibri"/>
        <w:sz w:val="16"/>
        <w:szCs w:val="16"/>
      </w:rPr>
      <w:t>RoP</w:t>
    </w:r>
    <w:proofErr w:type="spellEnd"/>
    <w:r w:rsidRPr="00061AB8">
      <w:rPr>
        <w:rFonts w:ascii="Calibri" w:eastAsia="Calibri" w:hAnsi="Calibri"/>
        <w:sz w:val="16"/>
        <w:szCs w:val="16"/>
      </w:rPr>
      <w:t xml:space="preserve"> Facility Assessment Toolkit</w:t>
    </w:r>
    <w:r>
      <w:rPr>
        <w:rFonts w:ascii="Calibri" w:eastAsia="Calibri" w:hAnsi="Calibri"/>
        <w:sz w:val="16"/>
        <w:szCs w:val="16"/>
      </w:rPr>
      <w:t xml:space="preserve"> - 2017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2C" w:rsidRDefault="007E3A2C" w:rsidP="00FE158D">
      <w:r>
        <w:separator/>
      </w:r>
    </w:p>
  </w:footnote>
  <w:footnote w:type="continuationSeparator" w:id="0">
    <w:p w:rsidR="007E3A2C" w:rsidRDefault="007E3A2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3926B3D"/>
    <w:multiLevelType w:val="hybridMultilevel"/>
    <w:tmpl w:val="915AC1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B0843"/>
    <w:multiLevelType w:val="hybridMultilevel"/>
    <w:tmpl w:val="F5EE7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E4A35"/>
    <w:multiLevelType w:val="hybridMultilevel"/>
    <w:tmpl w:val="C9126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EB63CD1"/>
    <w:multiLevelType w:val="hybridMultilevel"/>
    <w:tmpl w:val="D2407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AE515C"/>
    <w:multiLevelType w:val="hybridMultilevel"/>
    <w:tmpl w:val="0BCC1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01808"/>
    <w:rsid w:val="00022C8A"/>
    <w:rsid w:val="00023831"/>
    <w:rsid w:val="000413C8"/>
    <w:rsid w:val="000525E2"/>
    <w:rsid w:val="000667ED"/>
    <w:rsid w:val="00066D50"/>
    <w:rsid w:val="00066D64"/>
    <w:rsid w:val="00070510"/>
    <w:rsid w:val="00083BDB"/>
    <w:rsid w:val="000C24EF"/>
    <w:rsid w:val="000C73D8"/>
    <w:rsid w:val="000D47E0"/>
    <w:rsid w:val="000D53DE"/>
    <w:rsid w:val="000D5B62"/>
    <w:rsid w:val="000E228A"/>
    <w:rsid w:val="000E56A6"/>
    <w:rsid w:val="000F0118"/>
    <w:rsid w:val="000F7E90"/>
    <w:rsid w:val="0012309D"/>
    <w:rsid w:val="001545F8"/>
    <w:rsid w:val="00157499"/>
    <w:rsid w:val="00170AD2"/>
    <w:rsid w:val="00171E8F"/>
    <w:rsid w:val="00185739"/>
    <w:rsid w:val="001A1EA7"/>
    <w:rsid w:val="001A70E9"/>
    <w:rsid w:val="001E1B8D"/>
    <w:rsid w:val="001E4A02"/>
    <w:rsid w:val="00225695"/>
    <w:rsid w:val="002376A2"/>
    <w:rsid w:val="002613D3"/>
    <w:rsid w:val="002652DA"/>
    <w:rsid w:val="00273546"/>
    <w:rsid w:val="00276EDF"/>
    <w:rsid w:val="0028171D"/>
    <w:rsid w:val="00284AEE"/>
    <w:rsid w:val="00295710"/>
    <w:rsid w:val="002B217D"/>
    <w:rsid w:val="002C456A"/>
    <w:rsid w:val="002C5F29"/>
    <w:rsid w:val="002F2B8A"/>
    <w:rsid w:val="002F5D22"/>
    <w:rsid w:val="003011C7"/>
    <w:rsid w:val="00301AA8"/>
    <w:rsid w:val="00347292"/>
    <w:rsid w:val="003510B5"/>
    <w:rsid w:val="0035148C"/>
    <w:rsid w:val="00361BBF"/>
    <w:rsid w:val="00366A95"/>
    <w:rsid w:val="00371225"/>
    <w:rsid w:val="00372DF7"/>
    <w:rsid w:val="00373CF0"/>
    <w:rsid w:val="00394390"/>
    <w:rsid w:val="003A3E8D"/>
    <w:rsid w:val="003A467F"/>
    <w:rsid w:val="003B0939"/>
    <w:rsid w:val="003F0374"/>
    <w:rsid w:val="003F0C77"/>
    <w:rsid w:val="00476387"/>
    <w:rsid w:val="00480768"/>
    <w:rsid w:val="00484844"/>
    <w:rsid w:val="004866F6"/>
    <w:rsid w:val="0049047C"/>
    <w:rsid w:val="00490FF5"/>
    <w:rsid w:val="004C4130"/>
    <w:rsid w:val="004E0037"/>
    <w:rsid w:val="004E60BD"/>
    <w:rsid w:val="00524891"/>
    <w:rsid w:val="00534CAA"/>
    <w:rsid w:val="0053732B"/>
    <w:rsid w:val="005438CB"/>
    <w:rsid w:val="0055308D"/>
    <w:rsid w:val="005615BA"/>
    <w:rsid w:val="00561D6D"/>
    <w:rsid w:val="00593E4B"/>
    <w:rsid w:val="005B296E"/>
    <w:rsid w:val="005B69B2"/>
    <w:rsid w:val="005F036A"/>
    <w:rsid w:val="005F6C6E"/>
    <w:rsid w:val="006034EC"/>
    <w:rsid w:val="00603AC0"/>
    <w:rsid w:val="00605605"/>
    <w:rsid w:val="00610027"/>
    <w:rsid w:val="0061110D"/>
    <w:rsid w:val="00612F40"/>
    <w:rsid w:val="006338B1"/>
    <w:rsid w:val="00640A6F"/>
    <w:rsid w:val="006454F9"/>
    <w:rsid w:val="006A3CC2"/>
    <w:rsid w:val="006B2ED2"/>
    <w:rsid w:val="006B4E30"/>
    <w:rsid w:val="006D25BD"/>
    <w:rsid w:val="007046C2"/>
    <w:rsid w:val="00710990"/>
    <w:rsid w:val="00717F24"/>
    <w:rsid w:val="007251EF"/>
    <w:rsid w:val="00733691"/>
    <w:rsid w:val="00736D86"/>
    <w:rsid w:val="00751EF9"/>
    <w:rsid w:val="00783084"/>
    <w:rsid w:val="00787273"/>
    <w:rsid w:val="007A61F1"/>
    <w:rsid w:val="007E3A2C"/>
    <w:rsid w:val="007E47DC"/>
    <w:rsid w:val="007E568E"/>
    <w:rsid w:val="007F1686"/>
    <w:rsid w:val="007F26C3"/>
    <w:rsid w:val="007F45B6"/>
    <w:rsid w:val="00805910"/>
    <w:rsid w:val="00817FAE"/>
    <w:rsid w:val="0082109E"/>
    <w:rsid w:val="00823348"/>
    <w:rsid w:val="008259FB"/>
    <w:rsid w:val="00836B8E"/>
    <w:rsid w:val="00845990"/>
    <w:rsid w:val="00856FA1"/>
    <w:rsid w:val="00864584"/>
    <w:rsid w:val="00872303"/>
    <w:rsid w:val="00880BE2"/>
    <w:rsid w:val="00882A4F"/>
    <w:rsid w:val="008A05E9"/>
    <w:rsid w:val="008A62E8"/>
    <w:rsid w:val="008B3DBE"/>
    <w:rsid w:val="008B6D99"/>
    <w:rsid w:val="008C321C"/>
    <w:rsid w:val="008D3679"/>
    <w:rsid w:val="008D496A"/>
    <w:rsid w:val="008D6067"/>
    <w:rsid w:val="008E3AE6"/>
    <w:rsid w:val="008E7224"/>
    <w:rsid w:val="009073EC"/>
    <w:rsid w:val="00913054"/>
    <w:rsid w:val="0091732B"/>
    <w:rsid w:val="009478FB"/>
    <w:rsid w:val="00951B77"/>
    <w:rsid w:val="00960FAB"/>
    <w:rsid w:val="00964A22"/>
    <w:rsid w:val="00965905"/>
    <w:rsid w:val="0096687A"/>
    <w:rsid w:val="009744B5"/>
    <w:rsid w:val="009B7479"/>
    <w:rsid w:val="009C106D"/>
    <w:rsid w:val="009C5754"/>
    <w:rsid w:val="009C583E"/>
    <w:rsid w:val="009E636E"/>
    <w:rsid w:val="009F0488"/>
    <w:rsid w:val="00A039B0"/>
    <w:rsid w:val="00A20014"/>
    <w:rsid w:val="00A25232"/>
    <w:rsid w:val="00A40123"/>
    <w:rsid w:val="00A40FFB"/>
    <w:rsid w:val="00A41410"/>
    <w:rsid w:val="00A43B48"/>
    <w:rsid w:val="00A66572"/>
    <w:rsid w:val="00A73BD0"/>
    <w:rsid w:val="00A770DD"/>
    <w:rsid w:val="00A848E2"/>
    <w:rsid w:val="00A9460A"/>
    <w:rsid w:val="00AB677E"/>
    <w:rsid w:val="00AC0FC3"/>
    <w:rsid w:val="00AC59F8"/>
    <w:rsid w:val="00AD1280"/>
    <w:rsid w:val="00AE6DF0"/>
    <w:rsid w:val="00B019EA"/>
    <w:rsid w:val="00B03F8C"/>
    <w:rsid w:val="00B062EF"/>
    <w:rsid w:val="00B11184"/>
    <w:rsid w:val="00B17B53"/>
    <w:rsid w:val="00B24FB4"/>
    <w:rsid w:val="00B24FEC"/>
    <w:rsid w:val="00B34BFC"/>
    <w:rsid w:val="00B41730"/>
    <w:rsid w:val="00B6251E"/>
    <w:rsid w:val="00BA133A"/>
    <w:rsid w:val="00BB1715"/>
    <w:rsid w:val="00BB507F"/>
    <w:rsid w:val="00BB7AB3"/>
    <w:rsid w:val="00BC6412"/>
    <w:rsid w:val="00BD264F"/>
    <w:rsid w:val="00BE1BD3"/>
    <w:rsid w:val="00BE1EB2"/>
    <w:rsid w:val="00C0102E"/>
    <w:rsid w:val="00C05E5C"/>
    <w:rsid w:val="00C170A5"/>
    <w:rsid w:val="00C3385C"/>
    <w:rsid w:val="00C40438"/>
    <w:rsid w:val="00C6212A"/>
    <w:rsid w:val="00C71D53"/>
    <w:rsid w:val="00C76BE9"/>
    <w:rsid w:val="00C927E4"/>
    <w:rsid w:val="00CB21BB"/>
    <w:rsid w:val="00CD113E"/>
    <w:rsid w:val="00CF284B"/>
    <w:rsid w:val="00CF3AE8"/>
    <w:rsid w:val="00D01949"/>
    <w:rsid w:val="00D1168B"/>
    <w:rsid w:val="00D235A9"/>
    <w:rsid w:val="00D37C41"/>
    <w:rsid w:val="00D51CF4"/>
    <w:rsid w:val="00D7793D"/>
    <w:rsid w:val="00DB6D68"/>
    <w:rsid w:val="00DB7C69"/>
    <w:rsid w:val="00DC0BC7"/>
    <w:rsid w:val="00DC40AB"/>
    <w:rsid w:val="00DE7AF9"/>
    <w:rsid w:val="00DF155B"/>
    <w:rsid w:val="00DF595F"/>
    <w:rsid w:val="00E410E3"/>
    <w:rsid w:val="00E94EC6"/>
    <w:rsid w:val="00EB192F"/>
    <w:rsid w:val="00ED6153"/>
    <w:rsid w:val="00EE4F0F"/>
    <w:rsid w:val="00EF0A00"/>
    <w:rsid w:val="00EF400A"/>
    <w:rsid w:val="00F27155"/>
    <w:rsid w:val="00F3656F"/>
    <w:rsid w:val="00F41C5D"/>
    <w:rsid w:val="00F955BA"/>
    <w:rsid w:val="00FB157C"/>
    <w:rsid w:val="00FB5A60"/>
    <w:rsid w:val="00FC03F0"/>
    <w:rsid w:val="00FC4E7A"/>
    <w:rsid w:val="00FE158D"/>
    <w:rsid w:val="00FF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40C18"/>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61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458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13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458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613D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13D3"/>
    <w:rPr>
      <w:rFonts w:asciiTheme="majorHAnsi" w:eastAsiaTheme="majorEastAsia" w:hAnsiTheme="majorHAnsi" w:cstheme="majorBidi"/>
      <w:i/>
      <w:iCs/>
      <w:color w:val="2E74B5" w:themeColor="accent1" w:themeShade="BF"/>
      <w:sz w:val="24"/>
      <w:szCs w:val="20"/>
    </w:rPr>
  </w:style>
  <w:style w:type="character" w:customStyle="1" w:styleId="Mention1">
    <w:name w:val="Mention1"/>
    <w:basedOn w:val="DefaultParagraphFont"/>
    <w:uiPriority w:val="99"/>
    <w:semiHidden/>
    <w:unhideWhenUsed/>
    <w:rsid w:val="002613D3"/>
    <w:rPr>
      <w:color w:val="2B579A"/>
      <w:shd w:val="clear" w:color="auto" w:fill="E6E6E6"/>
    </w:rPr>
  </w:style>
  <w:style w:type="paragraph" w:styleId="BodyText2">
    <w:name w:val="Body Text 2"/>
    <w:basedOn w:val="Normal"/>
    <w:link w:val="BodyText2Char"/>
    <w:uiPriority w:val="99"/>
    <w:semiHidden/>
    <w:unhideWhenUsed/>
    <w:rsid w:val="00276EDF"/>
    <w:pPr>
      <w:spacing w:before="120"/>
    </w:pPr>
    <w:rPr>
      <w:rFonts w:asciiTheme="minorHAnsi" w:eastAsiaTheme="minorHAnsi" w:hAnsiTheme="minorHAnsi"/>
      <w:iCs/>
      <w:color w:val="000000"/>
      <w:sz w:val="23"/>
      <w:szCs w:val="23"/>
    </w:rPr>
  </w:style>
  <w:style w:type="character" w:customStyle="1" w:styleId="BodyText2Char">
    <w:name w:val="Body Text 2 Char"/>
    <w:basedOn w:val="DefaultParagraphFont"/>
    <w:link w:val="BodyText2"/>
    <w:uiPriority w:val="99"/>
    <w:semiHidden/>
    <w:rsid w:val="00276EDF"/>
    <w:rPr>
      <w:rFonts w:cs="Times New Roman"/>
      <w:iCs/>
      <w:color w:val="000000"/>
      <w:sz w:val="23"/>
      <w:szCs w:val="23"/>
    </w:rPr>
  </w:style>
  <w:style w:type="paragraph" w:styleId="NoSpacing">
    <w:name w:val="No Spacing"/>
    <w:basedOn w:val="Normal"/>
    <w:uiPriority w:val="1"/>
    <w:qFormat/>
    <w:rsid w:val="000E56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5992216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5544425">
      <w:bodyDiv w:val="1"/>
      <w:marLeft w:val="0"/>
      <w:marRight w:val="0"/>
      <w:marTop w:val="0"/>
      <w:marBottom w:val="0"/>
      <w:divBdr>
        <w:top w:val="none" w:sz="0" w:space="0" w:color="auto"/>
        <w:left w:val="none" w:sz="0" w:space="0" w:color="auto"/>
        <w:bottom w:val="none" w:sz="0" w:space="0" w:color="auto"/>
        <w:right w:val="none" w:sz="0" w:space="0" w:color="auto"/>
      </w:divBdr>
      <w:divsChild>
        <w:div w:id="323902004">
          <w:marLeft w:val="0"/>
          <w:marRight w:val="0"/>
          <w:marTop w:val="0"/>
          <w:marBottom w:val="0"/>
          <w:divBdr>
            <w:top w:val="none" w:sz="0" w:space="0" w:color="auto"/>
            <w:left w:val="none" w:sz="0" w:space="0" w:color="auto"/>
            <w:bottom w:val="none" w:sz="0" w:space="0" w:color="auto"/>
            <w:right w:val="none" w:sz="0" w:space="0" w:color="auto"/>
          </w:divBdr>
          <w:divsChild>
            <w:div w:id="596906565">
              <w:blockQuote w:val="1"/>
              <w:marLeft w:val="0"/>
              <w:marRight w:val="0"/>
              <w:marTop w:val="0"/>
              <w:marBottom w:val="0"/>
              <w:divBdr>
                <w:top w:val="none" w:sz="0" w:space="0" w:color="auto"/>
                <w:left w:val="none" w:sz="0" w:space="0" w:color="auto"/>
                <w:bottom w:val="none" w:sz="0" w:space="0" w:color="auto"/>
                <w:right w:val="none" w:sz="0" w:space="0" w:color="auto"/>
              </w:divBdr>
            </w:div>
            <w:div w:id="2036036053">
              <w:blockQuote w:val="1"/>
              <w:marLeft w:val="0"/>
              <w:marRight w:val="0"/>
              <w:marTop w:val="0"/>
              <w:marBottom w:val="0"/>
              <w:divBdr>
                <w:top w:val="none" w:sz="0" w:space="0" w:color="auto"/>
                <w:left w:val="none" w:sz="0" w:space="0" w:color="auto"/>
                <w:bottom w:val="none" w:sz="0" w:space="0" w:color="auto"/>
                <w:right w:val="none" w:sz="0" w:space="0" w:color="auto"/>
              </w:divBdr>
            </w:div>
            <w:div w:id="451241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sChild>
        <w:div w:id="1006202982">
          <w:marLeft w:val="0"/>
          <w:marRight w:val="0"/>
          <w:marTop w:val="0"/>
          <w:marBottom w:val="0"/>
          <w:divBdr>
            <w:top w:val="none" w:sz="0" w:space="0" w:color="auto"/>
            <w:left w:val="none" w:sz="0" w:space="0" w:color="auto"/>
            <w:bottom w:val="none" w:sz="0" w:space="0" w:color="auto"/>
            <w:right w:val="none" w:sz="0" w:space="0" w:color="auto"/>
          </w:divBdr>
          <w:divsChild>
            <w:div w:id="1933932338">
              <w:blockQuote w:val="1"/>
              <w:marLeft w:val="0"/>
              <w:marRight w:val="0"/>
              <w:marTop w:val="0"/>
              <w:marBottom w:val="0"/>
              <w:divBdr>
                <w:top w:val="none" w:sz="0" w:space="0" w:color="auto"/>
                <w:left w:val="none" w:sz="0" w:space="0" w:color="auto"/>
                <w:bottom w:val="none" w:sz="0" w:space="0" w:color="auto"/>
                <w:right w:val="none" w:sz="0" w:space="0" w:color="auto"/>
              </w:divBdr>
            </w:div>
            <w:div w:id="1533029016">
              <w:blockQuote w:val="1"/>
              <w:marLeft w:val="0"/>
              <w:marRight w:val="0"/>
              <w:marTop w:val="0"/>
              <w:marBottom w:val="0"/>
              <w:divBdr>
                <w:top w:val="none" w:sz="0" w:space="0" w:color="auto"/>
                <w:left w:val="none" w:sz="0" w:space="0" w:color="auto"/>
                <w:bottom w:val="none" w:sz="0" w:space="0" w:color="auto"/>
                <w:right w:val="none" w:sz="0" w:space="0" w:color="auto"/>
              </w:divBdr>
            </w:div>
            <w:div w:id="627125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84038767">
      <w:bodyDiv w:val="1"/>
      <w:marLeft w:val="0"/>
      <w:marRight w:val="0"/>
      <w:marTop w:val="0"/>
      <w:marBottom w:val="0"/>
      <w:divBdr>
        <w:top w:val="none" w:sz="0" w:space="0" w:color="auto"/>
        <w:left w:val="none" w:sz="0" w:space="0" w:color="auto"/>
        <w:bottom w:val="none" w:sz="0" w:space="0" w:color="auto"/>
        <w:right w:val="none" w:sz="0" w:space="0" w:color="auto"/>
      </w:divBdr>
      <w:divsChild>
        <w:div w:id="1667826312">
          <w:marLeft w:val="0"/>
          <w:marRight w:val="0"/>
          <w:marTop w:val="0"/>
          <w:marBottom w:val="0"/>
          <w:divBdr>
            <w:top w:val="none" w:sz="0" w:space="0" w:color="auto"/>
            <w:left w:val="none" w:sz="0" w:space="0" w:color="auto"/>
            <w:bottom w:val="none" w:sz="0" w:space="0" w:color="auto"/>
            <w:right w:val="none" w:sz="0" w:space="0" w:color="auto"/>
          </w:divBdr>
          <w:divsChild>
            <w:div w:id="8891951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54074345">
      <w:bodyDiv w:val="1"/>
      <w:marLeft w:val="0"/>
      <w:marRight w:val="0"/>
      <w:marTop w:val="0"/>
      <w:marBottom w:val="0"/>
      <w:divBdr>
        <w:top w:val="none" w:sz="0" w:space="0" w:color="auto"/>
        <w:left w:val="none" w:sz="0" w:space="0" w:color="auto"/>
        <w:bottom w:val="none" w:sz="0" w:space="0" w:color="auto"/>
        <w:right w:val="none" w:sz="0" w:space="0" w:color="auto"/>
      </w:divBdr>
      <w:divsChild>
        <w:div w:id="415131390">
          <w:marLeft w:val="0"/>
          <w:marRight w:val="0"/>
          <w:marTop w:val="0"/>
          <w:marBottom w:val="0"/>
          <w:divBdr>
            <w:top w:val="none" w:sz="0" w:space="0" w:color="auto"/>
            <w:left w:val="none" w:sz="0" w:space="0" w:color="auto"/>
            <w:bottom w:val="none" w:sz="0" w:space="0" w:color="auto"/>
            <w:right w:val="none" w:sz="0" w:space="0" w:color="auto"/>
          </w:divBdr>
        </w:div>
      </w:divsChild>
    </w:div>
    <w:div w:id="897285878">
      <w:bodyDiv w:val="1"/>
      <w:marLeft w:val="0"/>
      <w:marRight w:val="0"/>
      <w:marTop w:val="0"/>
      <w:marBottom w:val="0"/>
      <w:divBdr>
        <w:top w:val="none" w:sz="0" w:space="0" w:color="auto"/>
        <w:left w:val="none" w:sz="0" w:space="0" w:color="auto"/>
        <w:bottom w:val="none" w:sz="0" w:space="0" w:color="auto"/>
        <w:right w:val="none" w:sz="0" w:space="0" w:color="auto"/>
      </w:divBdr>
      <w:divsChild>
        <w:div w:id="1826243835">
          <w:marLeft w:val="0"/>
          <w:marRight w:val="0"/>
          <w:marTop w:val="0"/>
          <w:marBottom w:val="0"/>
          <w:divBdr>
            <w:top w:val="none" w:sz="0" w:space="0" w:color="auto"/>
            <w:left w:val="none" w:sz="0" w:space="0" w:color="auto"/>
            <w:bottom w:val="none" w:sz="0" w:space="0" w:color="auto"/>
            <w:right w:val="none" w:sz="0" w:space="0" w:color="auto"/>
          </w:divBdr>
          <w:divsChild>
            <w:div w:id="1911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23794937">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5099762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256">
          <w:marLeft w:val="0"/>
          <w:marRight w:val="0"/>
          <w:marTop w:val="0"/>
          <w:marBottom w:val="0"/>
          <w:divBdr>
            <w:top w:val="none" w:sz="0" w:space="0" w:color="auto"/>
            <w:left w:val="none" w:sz="0" w:space="0" w:color="auto"/>
            <w:bottom w:val="none" w:sz="0" w:space="0" w:color="auto"/>
            <w:right w:val="none" w:sz="0" w:space="0" w:color="auto"/>
          </w:divBdr>
        </w:div>
      </w:divsChild>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668050449">
      <w:bodyDiv w:val="1"/>
      <w:marLeft w:val="0"/>
      <w:marRight w:val="0"/>
      <w:marTop w:val="0"/>
      <w:marBottom w:val="0"/>
      <w:divBdr>
        <w:top w:val="none" w:sz="0" w:space="0" w:color="auto"/>
        <w:left w:val="none" w:sz="0" w:space="0" w:color="auto"/>
        <w:bottom w:val="none" w:sz="0" w:space="0" w:color="auto"/>
        <w:right w:val="none" w:sz="0" w:space="0" w:color="auto"/>
      </w:divBdr>
    </w:div>
    <w:div w:id="1678188030">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70276229">
      <w:bodyDiv w:val="1"/>
      <w:marLeft w:val="0"/>
      <w:marRight w:val="0"/>
      <w:marTop w:val="0"/>
      <w:marBottom w:val="0"/>
      <w:divBdr>
        <w:top w:val="none" w:sz="0" w:space="0" w:color="auto"/>
        <w:left w:val="none" w:sz="0" w:space="0" w:color="auto"/>
        <w:bottom w:val="none" w:sz="0" w:space="0" w:color="auto"/>
        <w:right w:val="none" w:sz="0" w:space="0" w:color="auto"/>
      </w:divBdr>
    </w:div>
    <w:div w:id="1876192808">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104569808">
      <w:bodyDiv w:val="1"/>
      <w:marLeft w:val="0"/>
      <w:marRight w:val="0"/>
      <w:marTop w:val="0"/>
      <w:marBottom w:val="0"/>
      <w:divBdr>
        <w:top w:val="none" w:sz="0" w:space="0" w:color="auto"/>
        <w:left w:val="none" w:sz="0" w:space="0" w:color="auto"/>
        <w:bottom w:val="none" w:sz="0" w:space="0" w:color="auto"/>
        <w:right w:val="none" w:sz="0" w:space="0" w:color="auto"/>
      </w:divBdr>
      <w:divsChild>
        <w:div w:id="154397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Emergency-Prep-Rul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ioprogram.org/facility-assessment-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ificationGenInfo/Downloads/Survey-and-Cert-Letter-17-2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s.gov/Medicare/Provider-Enrollment-and-Certification/GuidanceforLawsAndRegulations/Downloads/Advance-Appendix-PP-Including-Phase-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3651-D624-4F5D-A2A1-6911AB2B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13</cp:revision>
  <dcterms:created xsi:type="dcterms:W3CDTF">2017-08-29T23:50:00Z</dcterms:created>
  <dcterms:modified xsi:type="dcterms:W3CDTF">2017-09-07T18:15:00Z</dcterms:modified>
</cp:coreProperties>
</file>