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335870">
                            <w:pPr>
                              <w:jc w:val="center"/>
                              <w:rPr>
                                <w:rFonts w:ascii="Calibri" w:hAnsi="Calibri"/>
                                <w:color w:val="FFFFFF" w:themeColor="background1"/>
                                <w:sz w:val="72"/>
                              </w:rPr>
                            </w:pPr>
                            <w:r>
                              <w:rPr>
                                <w:rFonts w:ascii="Calibri" w:hAnsi="Calibri"/>
                                <w:color w:val="FFFFFF" w:themeColor="background1"/>
                                <w:sz w:val="72"/>
                              </w:rPr>
                              <w:t>Facility Assessment:</w:t>
                            </w:r>
                          </w:p>
                          <w:p w:rsidR="00CF63ED" w:rsidRDefault="00CF63ED" w:rsidP="00335870">
                            <w:pPr>
                              <w:jc w:val="center"/>
                              <w:rPr>
                                <w:rFonts w:ascii="Calibri" w:hAnsi="Calibri"/>
                                <w:color w:val="FFFFFF" w:themeColor="background1"/>
                                <w:sz w:val="72"/>
                              </w:rPr>
                            </w:pPr>
                            <w:r>
                              <w:rPr>
                                <w:rFonts w:ascii="Calibri" w:hAnsi="Calibri"/>
                                <w:color w:val="FFFFFF" w:themeColor="background1"/>
                                <w:sz w:val="72"/>
                              </w:rPr>
                              <w:t>Health Information Technology</w:t>
                            </w:r>
                          </w:p>
                          <w:p w:rsidR="00CF63ED" w:rsidRPr="00301AA8" w:rsidRDefault="00CF63ED">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CF63ED" w:rsidRDefault="00CF63ED" w:rsidP="00335870">
                      <w:pPr>
                        <w:jc w:val="center"/>
                        <w:rPr>
                          <w:rFonts w:ascii="Calibri" w:hAnsi="Calibri"/>
                          <w:color w:val="FFFFFF" w:themeColor="background1"/>
                          <w:sz w:val="72"/>
                        </w:rPr>
                      </w:pPr>
                      <w:r>
                        <w:rPr>
                          <w:rFonts w:ascii="Calibri" w:hAnsi="Calibri"/>
                          <w:color w:val="FFFFFF" w:themeColor="background1"/>
                          <w:sz w:val="72"/>
                        </w:rPr>
                        <w:t>Facility Assessment:</w:t>
                      </w:r>
                    </w:p>
                    <w:p w:rsidR="00CF63ED" w:rsidRDefault="00CF63ED" w:rsidP="00335870">
                      <w:pPr>
                        <w:jc w:val="center"/>
                        <w:rPr>
                          <w:rFonts w:ascii="Calibri" w:hAnsi="Calibri"/>
                          <w:color w:val="FFFFFF" w:themeColor="background1"/>
                          <w:sz w:val="72"/>
                        </w:rPr>
                      </w:pPr>
                      <w:r>
                        <w:rPr>
                          <w:rFonts w:ascii="Calibri" w:hAnsi="Calibri"/>
                          <w:color w:val="FFFFFF" w:themeColor="background1"/>
                          <w:sz w:val="72"/>
                        </w:rPr>
                        <w:t>Health Information Technology</w:t>
                      </w:r>
                    </w:p>
                    <w:p w:rsidR="00CF63ED" w:rsidRPr="00301AA8" w:rsidRDefault="00CF63ED">
                      <w:pPr>
                        <w:rPr>
                          <w:rFonts w:ascii="Calibri" w:hAnsi="Calibri"/>
                          <w:color w:val="FFFFFF" w:themeColor="background1"/>
                          <w:sz w:val="72"/>
                          <w14:textFill>
                            <w14:noFill/>
                          </w14:textFill>
                        </w:rPr>
                      </w:pPr>
                    </w:p>
                  </w:txbxContent>
                </v:textbox>
                <w10:wrap anchorx="margin" anchory="page"/>
              </v:shape>
            </w:pict>
          </mc:Fallback>
        </mc:AlternateContent>
      </w:r>
    </w:p>
    <w:p w:rsidR="00157499" w:rsidRPr="00F42E0A" w:rsidRDefault="00605605" w:rsidP="00157499">
      <w:pPr>
        <w:jc w:val="center"/>
        <w:textAlignment w:val="baseline"/>
        <w:rPr>
          <w:rFonts w:asciiTheme="minorHAnsi" w:hAnsiTheme="minorHAnsi" w:cs="Segoe UI"/>
          <w:b/>
          <w:bCs/>
          <w:sz w:val="32"/>
          <w:szCs w:val="22"/>
        </w:rPr>
      </w:pPr>
      <w:r w:rsidRPr="00F42E0A">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F63ED"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F63ED" w:rsidRPr="00605605" w:rsidRDefault="00CF63ED"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F42E0A">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F63ED" w:rsidRPr="00484844" w:rsidRDefault="00CF63ED">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F42E0A">
        <w:rPr>
          <w:rFonts w:asciiTheme="minorHAnsi" w:hAnsiTheme="minorHAnsi"/>
          <w:b/>
          <w:sz w:val="32"/>
        </w:rPr>
        <w:br w:type="page"/>
      </w:r>
    </w:p>
    <w:p w:rsidR="00A410E8" w:rsidRDefault="00A410E8" w:rsidP="00157499">
      <w:pPr>
        <w:jc w:val="center"/>
        <w:textAlignment w:val="baseline"/>
        <w:rPr>
          <w:rFonts w:asciiTheme="minorHAnsi" w:hAnsiTheme="minorHAnsi" w:cs="Segoe UI"/>
          <w:b/>
          <w:bCs/>
          <w:sz w:val="32"/>
          <w:szCs w:val="22"/>
        </w:rPr>
      </w:pPr>
    </w:p>
    <w:p w:rsidR="003D64B3" w:rsidRPr="00A410E8" w:rsidRDefault="00A410E8" w:rsidP="00157499">
      <w:pPr>
        <w:jc w:val="center"/>
        <w:textAlignment w:val="baseline"/>
        <w:rPr>
          <w:rFonts w:asciiTheme="minorHAnsi" w:hAnsiTheme="minorHAnsi" w:cs="Segoe UI"/>
          <w:b/>
          <w:bCs/>
          <w:sz w:val="32"/>
          <w:szCs w:val="22"/>
        </w:rPr>
      </w:pPr>
      <w:r>
        <w:rPr>
          <w:rFonts w:asciiTheme="minorHAnsi" w:hAnsiTheme="minorHAnsi" w:cs="Segoe UI"/>
          <w:b/>
          <w:bCs/>
          <w:sz w:val="32"/>
          <w:szCs w:val="22"/>
        </w:rPr>
        <w:t>Facility Assessment</w:t>
      </w:r>
      <w:r w:rsidR="009E1554">
        <w:rPr>
          <w:rFonts w:asciiTheme="minorHAnsi" w:hAnsiTheme="minorHAnsi" w:cs="Segoe UI"/>
          <w:b/>
          <w:bCs/>
          <w:sz w:val="32"/>
          <w:szCs w:val="22"/>
        </w:rPr>
        <w:t xml:space="preserve">:  </w:t>
      </w:r>
      <w:r w:rsidR="00B95E93">
        <w:rPr>
          <w:rFonts w:asciiTheme="minorHAnsi" w:hAnsiTheme="minorHAnsi" w:cs="Segoe UI"/>
          <w:b/>
          <w:bCs/>
          <w:sz w:val="32"/>
          <w:szCs w:val="22"/>
        </w:rPr>
        <w:t>Health Information Technology</w:t>
      </w:r>
    </w:p>
    <w:p w:rsidR="00157499" w:rsidRPr="00A410E8" w:rsidRDefault="00157499" w:rsidP="00157499">
      <w:pPr>
        <w:jc w:val="center"/>
        <w:textAlignment w:val="baseline"/>
        <w:rPr>
          <w:rFonts w:asciiTheme="minorHAnsi" w:hAnsiTheme="minorHAnsi" w:cs="Segoe UI"/>
          <w:sz w:val="12"/>
          <w:szCs w:val="12"/>
        </w:rPr>
      </w:pPr>
      <w:r w:rsidRPr="00A410E8">
        <w:rPr>
          <w:rFonts w:asciiTheme="minorHAnsi" w:hAnsiTheme="minorHAnsi" w:cs="Segoe UI"/>
          <w:sz w:val="32"/>
          <w:szCs w:val="22"/>
        </w:rPr>
        <w:t> </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r>
        <w:rPr>
          <w:rFonts w:asciiTheme="minorHAnsi" w:eastAsiaTheme="minorHAnsi" w:hAnsiTheme="minorHAnsi"/>
          <w:b/>
          <w:bCs/>
          <w:color w:val="000000"/>
          <w:szCs w:val="24"/>
        </w:rPr>
        <w:t>Reference F Tag</w:t>
      </w:r>
    </w:p>
    <w:p w:rsidR="00E75B2F" w:rsidRDefault="00E75B2F" w:rsidP="00E75B2F">
      <w:pPr>
        <w:pStyle w:val="Default"/>
        <w:rPr>
          <w:rFonts w:asciiTheme="minorHAnsi" w:eastAsiaTheme="minorHAnsi" w:hAnsiTheme="minorHAnsi"/>
          <w:b/>
          <w:bCs/>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
          <w:bCs/>
          <w:color w:val="000000"/>
          <w:szCs w:val="24"/>
        </w:rPr>
        <w:t xml:space="preserve">F838 </w:t>
      </w:r>
      <w:r w:rsidRPr="00B81CF8">
        <w:rPr>
          <w:rFonts w:asciiTheme="minorHAnsi" w:eastAsiaTheme="minorHAnsi" w:hAnsiTheme="minorHAnsi"/>
          <w:b/>
          <w:bCs/>
          <w:color w:val="000000"/>
          <w:szCs w:val="24"/>
        </w:rPr>
        <w:t xml:space="preserve">  </w:t>
      </w:r>
      <w:r w:rsidRPr="00BD227F">
        <w:rPr>
          <w:rFonts w:asciiTheme="minorHAnsi" w:eastAsiaTheme="minorHAnsi" w:hAnsiTheme="minorHAnsi"/>
          <w:b/>
          <w:bCs/>
          <w:iCs/>
          <w:color w:val="000000"/>
          <w:szCs w:val="24"/>
        </w:rPr>
        <w:t>§483.70(e)</w:t>
      </w:r>
      <w:r w:rsidRPr="00BD227F">
        <w:rPr>
          <w:rFonts w:asciiTheme="minorHAnsi" w:eastAsiaTheme="minorHAnsi" w:hAnsiTheme="minorHAnsi"/>
          <w:bCs/>
          <w:iCs/>
          <w:color w:val="000000"/>
          <w:szCs w:val="24"/>
        </w:rPr>
        <w:t xml:space="preserve"> Facility assessment. </w:t>
      </w: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 </w:t>
      </w:r>
    </w:p>
    <w:p w:rsidR="00335870" w:rsidRDefault="00335870" w:rsidP="00E75B2F">
      <w:pPr>
        <w:autoSpaceDE w:val="0"/>
        <w:autoSpaceDN w:val="0"/>
        <w:adjustRightInd w:val="0"/>
        <w:rPr>
          <w:rFonts w:asciiTheme="minorHAnsi" w:eastAsiaTheme="minorHAnsi" w:hAnsiTheme="minorHAnsi"/>
          <w:bCs/>
          <w:iCs/>
          <w:color w:val="000000"/>
          <w:szCs w:val="24"/>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§483.70(e)(1) The facility’s resident population, including, but not limited to,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Both the number of residents and the facility’s resident capacity;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The care required by the resident population considering the types of diseases, conditions, physical and cognitive disabilities, overall acuity, and other pertinent facts that are present within that population;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The staff competencies that are necessary to provide the level and types of care needed for the resident population;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The physical environment, equipment, services, and other physical plant considerations that are necessary to care for this population; and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Any ethnic, cultural, or religious factors that may potentially affect the care provided by the facility, including, but not limited to, activities and food and nutrition services. </w:t>
      </w:r>
    </w:p>
    <w:p w:rsidR="00335870" w:rsidRDefault="00335870" w:rsidP="00E75B2F">
      <w:pPr>
        <w:autoSpaceDE w:val="0"/>
        <w:autoSpaceDN w:val="0"/>
        <w:adjustRightInd w:val="0"/>
        <w:rPr>
          <w:rFonts w:asciiTheme="minorHAnsi" w:eastAsiaTheme="minorHAnsi" w:hAnsiTheme="minorHAnsi"/>
          <w:bCs/>
          <w:iCs/>
          <w:color w:val="000000"/>
          <w:szCs w:val="24"/>
        </w:rPr>
      </w:pPr>
    </w:p>
    <w:p w:rsidR="00E75B2F" w:rsidRPr="00BD227F" w:rsidRDefault="00E75B2F" w:rsidP="00E75B2F">
      <w:pPr>
        <w:autoSpaceDE w:val="0"/>
        <w:autoSpaceDN w:val="0"/>
        <w:adjustRightInd w:val="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§483.70(e)(2) The facility’s resources, including but not limited to,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w:t>
      </w:r>
      <w:proofErr w:type="spellStart"/>
      <w:r w:rsidRPr="00BD227F">
        <w:rPr>
          <w:rFonts w:asciiTheme="minorHAnsi" w:eastAsiaTheme="minorHAnsi" w:hAnsiTheme="minorHAnsi"/>
          <w:bCs/>
          <w:iCs/>
          <w:color w:val="000000"/>
          <w:szCs w:val="24"/>
        </w:rPr>
        <w:t>i</w:t>
      </w:r>
      <w:proofErr w:type="spellEnd"/>
      <w:r w:rsidRPr="00BD227F">
        <w:rPr>
          <w:rFonts w:asciiTheme="minorHAnsi" w:eastAsiaTheme="minorHAnsi" w:hAnsiTheme="minorHAnsi"/>
          <w:bCs/>
          <w:iCs/>
          <w:color w:val="000000"/>
          <w:szCs w:val="24"/>
        </w:rPr>
        <w:t xml:space="preserve">) All buildings and/or other physical structures and vehicles;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 Equipment (medical and non- medical);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(iii) Services provided, such as physical therapy, pharmacy, and specific rehabilitation therapies;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(iv) All personnel, including managers, staff (both employees and those who provide services under contract), and volunteers, as well as their education and/or training and any competencies related to resident care;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 Contracts, memorandums of understanding, or other agreements with third parties to provide services or equipment to the facility during both normal operations and emergencies; and </w:t>
      </w:r>
    </w:p>
    <w:p w:rsidR="00E75B2F" w:rsidRPr="00BD227F" w:rsidRDefault="00E75B2F" w:rsidP="00E75B2F">
      <w:pPr>
        <w:autoSpaceDE w:val="0"/>
        <w:autoSpaceDN w:val="0"/>
        <w:adjustRightInd w:val="0"/>
        <w:ind w:left="720" w:hanging="360"/>
        <w:rPr>
          <w:rFonts w:asciiTheme="minorHAnsi" w:eastAsiaTheme="minorHAnsi" w:hAnsiTheme="minorHAnsi"/>
          <w:color w:val="000000"/>
          <w:szCs w:val="24"/>
        </w:rPr>
      </w:pPr>
      <w:r w:rsidRPr="00BD227F">
        <w:rPr>
          <w:rFonts w:asciiTheme="minorHAnsi" w:eastAsiaTheme="minorHAnsi" w:hAnsiTheme="minorHAnsi"/>
          <w:bCs/>
          <w:iCs/>
          <w:color w:val="000000"/>
          <w:szCs w:val="24"/>
        </w:rPr>
        <w:t xml:space="preserve">(vi) Health information technology resources, such as systems for electronically managing patient records and electronically sharing information with other organizations. </w:t>
      </w:r>
    </w:p>
    <w:p w:rsidR="00335870" w:rsidRDefault="00335870" w:rsidP="00E75B2F">
      <w:pPr>
        <w:autoSpaceDE w:val="0"/>
        <w:autoSpaceDN w:val="0"/>
        <w:adjustRightInd w:val="0"/>
        <w:spacing w:line="276" w:lineRule="atLeast"/>
        <w:rPr>
          <w:rFonts w:asciiTheme="minorHAnsi" w:eastAsiaTheme="minorHAnsi" w:hAnsiTheme="minorHAnsi"/>
          <w:bCs/>
          <w:iCs/>
          <w:color w:val="000000"/>
          <w:szCs w:val="24"/>
        </w:rPr>
      </w:pPr>
    </w:p>
    <w:p w:rsidR="00E75B2F" w:rsidRPr="00B81CF8" w:rsidRDefault="00E75B2F" w:rsidP="00E75B2F">
      <w:pPr>
        <w:autoSpaceDE w:val="0"/>
        <w:autoSpaceDN w:val="0"/>
        <w:adjustRightInd w:val="0"/>
        <w:spacing w:line="276" w:lineRule="atLeast"/>
        <w:rPr>
          <w:rFonts w:asciiTheme="minorHAnsi" w:eastAsiaTheme="minorHAnsi" w:hAnsiTheme="minorHAnsi"/>
          <w:bCs/>
          <w:color w:val="000000"/>
          <w:szCs w:val="24"/>
        </w:rPr>
      </w:pPr>
      <w:r w:rsidRPr="00B81CF8">
        <w:rPr>
          <w:rFonts w:asciiTheme="minorHAnsi" w:eastAsiaTheme="minorHAnsi" w:hAnsiTheme="minorHAnsi"/>
          <w:bCs/>
          <w:iCs/>
          <w:color w:val="000000"/>
          <w:szCs w:val="24"/>
        </w:rPr>
        <w:lastRenderedPageBreak/>
        <w:t>§483.70(e)(3) A facility-based and community-based risk assessment, utilizing an all-hazards approach.</w:t>
      </w:r>
    </w:p>
    <w:p w:rsidR="00E75B2F" w:rsidRDefault="00E75B2F" w:rsidP="00E75B2F">
      <w:pPr>
        <w:autoSpaceDE w:val="0"/>
        <w:autoSpaceDN w:val="0"/>
        <w:adjustRightInd w:val="0"/>
        <w:spacing w:line="276" w:lineRule="atLeast"/>
        <w:rPr>
          <w:rFonts w:asciiTheme="minorHAnsi" w:eastAsiaTheme="minorHAnsi" w:hAnsiTheme="minorHAnsi"/>
          <w:b/>
          <w:bCs/>
          <w:color w:val="000000"/>
          <w:szCs w:val="24"/>
        </w:rPr>
      </w:pPr>
    </w:p>
    <w:p w:rsidR="00DC48A4" w:rsidRDefault="00DC48A4" w:rsidP="00DC48A4">
      <w:pPr>
        <w:pStyle w:val="CM3"/>
        <w:rPr>
          <w:rFonts w:asciiTheme="minorHAnsi" w:hAnsiTheme="minorHAnsi"/>
          <w:bCs/>
          <w:iCs/>
          <w:color w:val="000000"/>
        </w:rPr>
      </w:pPr>
      <w:r w:rsidRPr="00A410E8">
        <w:rPr>
          <w:rFonts w:asciiTheme="minorHAnsi" w:hAnsiTheme="minorHAnsi"/>
          <w:bCs/>
          <w:iCs/>
          <w:color w:val="000000"/>
        </w:rPr>
        <w:t xml:space="preserve">The facility’s </w:t>
      </w:r>
      <w:r w:rsidR="003E68A2">
        <w:rPr>
          <w:rFonts w:asciiTheme="minorHAnsi" w:hAnsiTheme="minorHAnsi"/>
          <w:bCs/>
          <w:iCs/>
          <w:color w:val="000000"/>
        </w:rPr>
        <w:t xml:space="preserve">health information technology resources, such as systems for electronically managing patient records and electronically sharing information with other organizations. </w:t>
      </w:r>
      <w:r w:rsidRPr="00A410E8">
        <w:rPr>
          <w:rFonts w:asciiTheme="minorHAnsi" w:hAnsiTheme="minorHAnsi"/>
          <w:bCs/>
          <w:iCs/>
          <w:color w:val="000000"/>
        </w:rPr>
        <w:t xml:space="preserve"> </w:t>
      </w:r>
    </w:p>
    <w:p w:rsidR="003E68A2" w:rsidRDefault="003E68A2" w:rsidP="003E68A2">
      <w:pPr>
        <w:pStyle w:val="Default"/>
      </w:pPr>
    </w:p>
    <w:p w:rsidR="003E68A2" w:rsidRPr="003E68A2" w:rsidRDefault="003E68A2" w:rsidP="009E1554">
      <w:pPr>
        <w:pStyle w:val="Default"/>
        <w:numPr>
          <w:ilvl w:val="0"/>
          <w:numId w:val="12"/>
        </w:numPr>
      </w:pPr>
      <w:r>
        <w:rPr>
          <w:rFonts w:asciiTheme="minorHAnsi" w:hAnsiTheme="minorHAnsi"/>
        </w:rPr>
        <w:t xml:space="preserve">The types of systems are used to manage resident health information </w:t>
      </w:r>
    </w:p>
    <w:p w:rsidR="00DC48A4" w:rsidRPr="00A410E8" w:rsidRDefault="003E68A2" w:rsidP="009E1554">
      <w:pPr>
        <w:pStyle w:val="Default"/>
        <w:numPr>
          <w:ilvl w:val="0"/>
          <w:numId w:val="12"/>
        </w:numPr>
        <w:spacing w:before="120"/>
        <w:rPr>
          <w:rFonts w:asciiTheme="minorHAnsi" w:hAnsiTheme="minorHAnsi"/>
        </w:rPr>
      </w:pPr>
      <w:r>
        <w:rPr>
          <w:rFonts w:asciiTheme="minorHAnsi" w:hAnsiTheme="minorHAnsi"/>
          <w:bCs/>
          <w:iCs/>
        </w:rPr>
        <w:t>How the facility will securely transfer health information to a hospital, home health agency, or other providers for any resident transferred or discharged from the facility</w:t>
      </w:r>
      <w:r w:rsidR="00DC48A4" w:rsidRPr="00A410E8">
        <w:rPr>
          <w:rFonts w:asciiTheme="minorHAnsi" w:hAnsiTheme="minorHAnsi"/>
          <w:bCs/>
          <w:iCs/>
        </w:rPr>
        <w:t xml:space="preserve"> </w:t>
      </w:r>
    </w:p>
    <w:p w:rsidR="003E68A2" w:rsidRDefault="003E68A2" w:rsidP="005F22B6">
      <w:pPr>
        <w:pStyle w:val="Heading2"/>
      </w:pPr>
    </w:p>
    <w:p w:rsidR="00754C25" w:rsidRPr="00A410E8" w:rsidRDefault="009E1554" w:rsidP="005F22B6">
      <w:pPr>
        <w:pStyle w:val="Heading2"/>
      </w:pPr>
      <w:r>
        <w:t>INTENT OF THE HEALTH INFORMATION TECHNOLOGY SECTION</w:t>
      </w:r>
    </w:p>
    <w:p w:rsidR="00DC48A4" w:rsidRPr="00A410E8" w:rsidRDefault="00DC48A4" w:rsidP="00DC48A4">
      <w:pPr>
        <w:autoSpaceDE w:val="0"/>
        <w:autoSpaceDN w:val="0"/>
        <w:adjustRightInd w:val="0"/>
        <w:rPr>
          <w:rFonts w:asciiTheme="minorHAnsi" w:eastAsiaTheme="minorHAnsi" w:hAnsiTheme="minorHAnsi"/>
          <w:color w:val="000000"/>
          <w:szCs w:val="24"/>
        </w:rPr>
      </w:pPr>
    </w:p>
    <w:p w:rsidR="00CF63ED" w:rsidRPr="009E1554" w:rsidRDefault="00DC48A4" w:rsidP="00DC48A4">
      <w:pPr>
        <w:pStyle w:val="BodyText"/>
        <w:rPr>
          <w:i w:val="0"/>
          <w:sz w:val="24"/>
          <w:szCs w:val="24"/>
        </w:rPr>
      </w:pPr>
      <w:r w:rsidRPr="009E1554">
        <w:rPr>
          <w:i w:val="0"/>
          <w:sz w:val="24"/>
          <w:szCs w:val="24"/>
        </w:rPr>
        <w:t xml:space="preserve">The intent of the </w:t>
      </w:r>
      <w:r w:rsidR="00CF63ED" w:rsidRPr="009E1554">
        <w:rPr>
          <w:i w:val="0"/>
          <w:sz w:val="24"/>
          <w:szCs w:val="24"/>
        </w:rPr>
        <w:t xml:space="preserve">health information technology section of the </w:t>
      </w:r>
      <w:r w:rsidRPr="009E1554">
        <w:rPr>
          <w:i w:val="0"/>
          <w:sz w:val="24"/>
          <w:szCs w:val="24"/>
        </w:rPr>
        <w:t xml:space="preserve">facility assessment is for the facility to evaluate its </w:t>
      </w:r>
      <w:r w:rsidR="00CF63ED" w:rsidRPr="009E1554">
        <w:rPr>
          <w:i w:val="0"/>
          <w:sz w:val="24"/>
          <w:szCs w:val="24"/>
        </w:rPr>
        <w:t>health information technology resources to ensure that resident protected health information is managed in a secure environment and how the facility will transfer health information to other providers utilizing health information exchange.</w:t>
      </w:r>
    </w:p>
    <w:p w:rsidR="00CF63ED" w:rsidRDefault="00CF63ED" w:rsidP="00DC48A4">
      <w:pPr>
        <w:pStyle w:val="BodyText"/>
        <w:rPr>
          <w:sz w:val="24"/>
          <w:szCs w:val="24"/>
        </w:rPr>
      </w:pPr>
    </w:p>
    <w:p w:rsidR="00DC48A4" w:rsidRPr="0017697B" w:rsidRDefault="00CF63ED" w:rsidP="005F22B6">
      <w:pPr>
        <w:pStyle w:val="Heading1"/>
        <w:rPr>
          <w:sz w:val="24"/>
          <w:szCs w:val="24"/>
        </w:rPr>
      </w:pPr>
      <w:r>
        <w:rPr>
          <w:sz w:val="24"/>
          <w:szCs w:val="24"/>
        </w:rPr>
        <w:t>How Health Information is Managed</w:t>
      </w:r>
    </w:p>
    <w:p w:rsidR="00CF63ED" w:rsidRDefault="00CF63ED" w:rsidP="005F22B6">
      <w:pPr>
        <w:pStyle w:val="BodyText2"/>
        <w:rPr>
          <w:sz w:val="24"/>
          <w:szCs w:val="24"/>
        </w:rPr>
      </w:pPr>
      <w:r>
        <w:rPr>
          <w:sz w:val="24"/>
          <w:szCs w:val="24"/>
        </w:rPr>
        <w:t>A nursing home may utilize several different types of technolog</w:t>
      </w:r>
      <w:r w:rsidR="00973D15">
        <w:rPr>
          <w:sz w:val="24"/>
          <w:szCs w:val="24"/>
        </w:rPr>
        <w:t>y to manage health information.  Besides the electronic health record there may be other systems used such as point of care documentation software for documenting activities of daily living, billing software, risk management software, pharmacy software for drug regimen review, referral management software, skin and wound care software, therapy services software, MDS/RAI software and others.</w:t>
      </w:r>
    </w:p>
    <w:p w:rsidR="00E75B2F" w:rsidRDefault="00E76AC7" w:rsidP="00D258BD">
      <w:pPr>
        <w:spacing w:before="120"/>
        <w:textAlignment w:val="baseline"/>
        <w:rPr>
          <w:rFonts w:asciiTheme="minorHAnsi" w:eastAsiaTheme="minorHAnsi" w:hAnsiTheme="minorHAnsi"/>
          <w:iCs/>
          <w:color w:val="000000"/>
          <w:szCs w:val="24"/>
        </w:rPr>
      </w:pPr>
      <w:r w:rsidRPr="00A410E8">
        <w:rPr>
          <w:rFonts w:asciiTheme="minorHAnsi" w:eastAsiaTheme="minorHAnsi" w:hAnsiTheme="minorHAnsi"/>
          <w:iCs/>
          <w:color w:val="000000"/>
          <w:szCs w:val="24"/>
        </w:rPr>
        <w:t xml:space="preserve">Consider that the Facility Assessment is designed to guide us in an evaluation of </w:t>
      </w:r>
      <w:r w:rsidR="00FA685F">
        <w:rPr>
          <w:rFonts w:asciiTheme="minorHAnsi" w:eastAsiaTheme="minorHAnsi" w:hAnsiTheme="minorHAnsi"/>
          <w:iCs/>
          <w:color w:val="000000"/>
          <w:szCs w:val="24"/>
        </w:rPr>
        <w:t>the facility</w:t>
      </w:r>
      <w:r w:rsidRPr="00A410E8">
        <w:rPr>
          <w:rFonts w:asciiTheme="minorHAnsi" w:eastAsiaTheme="minorHAnsi" w:hAnsiTheme="minorHAnsi"/>
          <w:iCs/>
          <w:color w:val="000000"/>
          <w:szCs w:val="24"/>
        </w:rPr>
        <w:t xml:space="preserve"> needs as they relate to the </w:t>
      </w:r>
      <w:r w:rsidR="00FA685F">
        <w:rPr>
          <w:rFonts w:asciiTheme="minorHAnsi" w:eastAsiaTheme="minorHAnsi" w:hAnsiTheme="minorHAnsi"/>
          <w:iCs/>
          <w:color w:val="000000"/>
          <w:szCs w:val="24"/>
        </w:rPr>
        <w:t xml:space="preserve">health information technology </w:t>
      </w:r>
      <w:r w:rsidRPr="00A410E8">
        <w:rPr>
          <w:rFonts w:asciiTheme="minorHAnsi" w:eastAsiaTheme="minorHAnsi" w:hAnsiTheme="minorHAnsi"/>
          <w:iCs/>
          <w:color w:val="000000"/>
          <w:szCs w:val="24"/>
        </w:rPr>
        <w:t>resources available at the facility</w:t>
      </w:r>
      <w:r w:rsidR="00FA685F">
        <w:rPr>
          <w:rFonts w:asciiTheme="minorHAnsi" w:eastAsiaTheme="minorHAnsi" w:hAnsiTheme="minorHAnsi"/>
          <w:iCs/>
          <w:color w:val="000000"/>
          <w:szCs w:val="24"/>
        </w:rPr>
        <w:t xml:space="preserve"> and what resources the facility is lacking or may need to obtain. </w:t>
      </w:r>
    </w:p>
    <w:p w:rsidR="00ED07B3" w:rsidRPr="00D258BD" w:rsidRDefault="00ED07B3" w:rsidP="00D258BD">
      <w:pPr>
        <w:spacing w:before="120"/>
        <w:textAlignment w:val="baseline"/>
        <w:rPr>
          <w:rFonts w:asciiTheme="minorHAnsi" w:eastAsiaTheme="minorHAnsi" w:hAnsiTheme="minorHAnsi"/>
          <w:iCs/>
          <w:color w:val="000000"/>
          <w:szCs w:val="24"/>
        </w:rPr>
      </w:pPr>
    </w:p>
    <w:p w:rsidR="00754C25" w:rsidRPr="00A410E8" w:rsidRDefault="00A15487" w:rsidP="00484785">
      <w:pPr>
        <w:pStyle w:val="Heading2"/>
      </w:pPr>
      <w:r>
        <w:t>PROCESS: DETERMINE AND IDENTIFY HEALTH INFORMATION TECHNOLOGY RESOURCES</w:t>
      </w:r>
    </w:p>
    <w:p w:rsidR="00A15487" w:rsidRDefault="00ED07B3" w:rsidP="00A15487">
      <w:pPr>
        <w:pStyle w:val="Heading3"/>
        <w:numPr>
          <w:ilvl w:val="0"/>
          <w:numId w:val="14"/>
        </w:numPr>
        <w:autoSpaceDE/>
        <w:autoSpaceDN/>
        <w:adjustRightInd/>
        <w:spacing w:line="240" w:lineRule="auto"/>
        <w:textAlignment w:val="baseline"/>
        <w:rPr>
          <w:rFonts w:asciiTheme="minorHAnsi" w:hAnsiTheme="minorHAnsi"/>
          <w:b w:val="0"/>
          <w:bCs w:val="0"/>
          <w:iCs/>
          <w:szCs w:val="24"/>
        </w:rPr>
      </w:pPr>
      <w:r w:rsidRPr="00A15487">
        <w:rPr>
          <w:rFonts w:asciiTheme="minorHAnsi" w:hAnsiTheme="minorHAnsi"/>
          <w:b w:val="0"/>
          <w:bCs w:val="0"/>
          <w:iCs/>
          <w:szCs w:val="24"/>
        </w:rPr>
        <w:t xml:space="preserve">Review the </w:t>
      </w:r>
      <w:r w:rsidR="00D258BD" w:rsidRPr="00A15487">
        <w:rPr>
          <w:rFonts w:asciiTheme="minorHAnsi" w:hAnsiTheme="minorHAnsi"/>
          <w:b w:val="0"/>
          <w:bCs w:val="0"/>
          <w:iCs/>
          <w:szCs w:val="24"/>
        </w:rPr>
        <w:t>facility inventory to identify the facility resources fo</w:t>
      </w:r>
      <w:r w:rsidR="00A15487" w:rsidRPr="00A15487">
        <w:rPr>
          <w:rFonts w:asciiTheme="minorHAnsi" w:hAnsiTheme="minorHAnsi"/>
          <w:b w:val="0"/>
          <w:bCs w:val="0"/>
          <w:iCs/>
          <w:szCs w:val="24"/>
        </w:rPr>
        <w:t>r health information technology</w:t>
      </w:r>
      <w:r w:rsidR="00335870">
        <w:rPr>
          <w:rFonts w:asciiTheme="minorHAnsi" w:hAnsiTheme="minorHAnsi"/>
          <w:b w:val="0"/>
          <w:bCs w:val="0"/>
          <w:iCs/>
          <w:szCs w:val="24"/>
        </w:rPr>
        <w:t>.</w:t>
      </w:r>
    </w:p>
    <w:p w:rsidR="00335870" w:rsidRPr="00335870" w:rsidRDefault="00335870" w:rsidP="00335870"/>
    <w:p w:rsidR="00A15487" w:rsidRPr="00020946" w:rsidRDefault="00A15487" w:rsidP="00687FDC">
      <w:pPr>
        <w:pStyle w:val="Heading3"/>
        <w:numPr>
          <w:ilvl w:val="0"/>
          <w:numId w:val="14"/>
        </w:numPr>
        <w:autoSpaceDE/>
        <w:autoSpaceDN/>
        <w:adjustRightInd/>
        <w:spacing w:line="240" w:lineRule="auto"/>
        <w:textAlignment w:val="baseline"/>
        <w:rPr>
          <w:rFonts w:asciiTheme="minorHAnsi" w:hAnsiTheme="minorHAnsi"/>
          <w:b w:val="0"/>
        </w:rPr>
      </w:pPr>
      <w:r w:rsidRPr="00020946">
        <w:rPr>
          <w:rFonts w:asciiTheme="minorHAnsi" w:hAnsiTheme="minorHAnsi"/>
          <w:b w:val="0"/>
        </w:rPr>
        <w:t>List the health information technology resources on the data collection tool</w:t>
      </w:r>
      <w:r w:rsidR="00335870">
        <w:rPr>
          <w:rFonts w:asciiTheme="minorHAnsi" w:hAnsiTheme="minorHAnsi"/>
          <w:b w:val="0"/>
        </w:rPr>
        <w:t>.</w:t>
      </w:r>
    </w:p>
    <w:p w:rsidR="00020946" w:rsidRPr="00020946" w:rsidRDefault="00A15487" w:rsidP="00020946">
      <w:pPr>
        <w:pStyle w:val="Heading3"/>
        <w:numPr>
          <w:ilvl w:val="1"/>
          <w:numId w:val="14"/>
        </w:numPr>
        <w:autoSpaceDE/>
        <w:autoSpaceDN/>
        <w:adjustRightInd/>
        <w:spacing w:line="240" w:lineRule="auto"/>
        <w:textAlignment w:val="baseline"/>
        <w:rPr>
          <w:rFonts w:asciiTheme="minorHAnsi" w:hAnsiTheme="minorHAnsi"/>
          <w:b w:val="0"/>
        </w:rPr>
      </w:pPr>
      <w:r w:rsidRPr="00020946">
        <w:rPr>
          <w:rFonts w:asciiTheme="minorHAnsi" w:hAnsiTheme="minorHAnsi"/>
          <w:b w:val="0"/>
        </w:rPr>
        <w:t xml:space="preserve">Example:  systems for electronically managing patient records and electronically sharing information with other organizations. </w:t>
      </w:r>
    </w:p>
    <w:p w:rsidR="00020946" w:rsidRPr="00020946" w:rsidRDefault="00020946" w:rsidP="00020946">
      <w:pPr>
        <w:ind w:left="1080"/>
        <w:rPr>
          <w:rFonts w:asciiTheme="minorHAnsi" w:hAnsiTheme="minorHAnsi"/>
        </w:rPr>
      </w:pPr>
      <w:r w:rsidRPr="00020946">
        <w:rPr>
          <w:rFonts w:asciiTheme="minorHAnsi" w:hAnsiTheme="minorHAnsi"/>
        </w:rPr>
        <w:t xml:space="preserve">b.  Remember to correlate the technology list with the facility Emergency </w:t>
      </w:r>
      <w:r>
        <w:rPr>
          <w:rFonts w:asciiTheme="minorHAnsi" w:hAnsiTheme="minorHAnsi"/>
        </w:rPr>
        <w:t xml:space="preserve"> </w:t>
      </w:r>
      <w:r w:rsidRPr="00020946">
        <w:rPr>
          <w:rFonts w:asciiTheme="minorHAnsi" w:hAnsiTheme="minorHAnsi"/>
        </w:rPr>
        <w:t xml:space="preserve">Preparedness Plan </w:t>
      </w:r>
    </w:p>
    <w:p w:rsidR="00A15487" w:rsidRDefault="00D258BD" w:rsidP="005E2421">
      <w:pPr>
        <w:pStyle w:val="ListParagraph"/>
        <w:numPr>
          <w:ilvl w:val="0"/>
          <w:numId w:val="14"/>
        </w:numPr>
        <w:textAlignment w:val="baseline"/>
        <w:rPr>
          <w:rFonts w:asciiTheme="minorHAnsi" w:hAnsiTheme="minorHAnsi"/>
          <w:iCs/>
          <w:szCs w:val="24"/>
        </w:rPr>
      </w:pPr>
      <w:r w:rsidRPr="00A15487">
        <w:rPr>
          <w:rFonts w:asciiTheme="minorHAnsi" w:hAnsiTheme="minorHAnsi"/>
          <w:iCs/>
          <w:szCs w:val="24"/>
        </w:rPr>
        <w:lastRenderedPageBreak/>
        <w:t>Write a narrative description of your electronic health record system.</w:t>
      </w:r>
      <w:r w:rsidR="00A15487" w:rsidRPr="00A15487">
        <w:rPr>
          <w:rFonts w:asciiTheme="minorHAnsi" w:hAnsiTheme="minorHAnsi"/>
          <w:iCs/>
          <w:szCs w:val="24"/>
        </w:rPr>
        <w:t xml:space="preserve">  </w:t>
      </w:r>
    </w:p>
    <w:p w:rsidR="00335870" w:rsidRPr="00A15487" w:rsidRDefault="00335870" w:rsidP="00335870">
      <w:pPr>
        <w:pStyle w:val="ListParagraph"/>
        <w:textAlignment w:val="baseline"/>
        <w:rPr>
          <w:rFonts w:asciiTheme="minorHAnsi" w:hAnsiTheme="minorHAnsi"/>
          <w:iCs/>
          <w:szCs w:val="24"/>
        </w:rPr>
      </w:pPr>
    </w:p>
    <w:p w:rsidR="00A15487" w:rsidRPr="00A15487" w:rsidRDefault="00D258BD" w:rsidP="000F2849">
      <w:pPr>
        <w:pStyle w:val="ListParagraph"/>
        <w:numPr>
          <w:ilvl w:val="0"/>
          <w:numId w:val="14"/>
        </w:numPr>
        <w:textAlignment w:val="baseline"/>
        <w:rPr>
          <w:rFonts w:asciiTheme="minorHAnsi" w:hAnsiTheme="minorHAnsi"/>
        </w:rPr>
      </w:pPr>
      <w:r w:rsidRPr="00A15487">
        <w:rPr>
          <w:rFonts w:asciiTheme="minorHAnsi" w:hAnsiTheme="minorHAnsi"/>
          <w:iCs/>
          <w:szCs w:val="24"/>
        </w:rPr>
        <w:t>Describe any other types of software used to manage resident health information.</w:t>
      </w:r>
    </w:p>
    <w:p w:rsidR="00A15487" w:rsidRPr="00A15487" w:rsidRDefault="00A15487" w:rsidP="00A15487">
      <w:pPr>
        <w:pStyle w:val="ListParagraph"/>
        <w:textAlignment w:val="baseline"/>
        <w:rPr>
          <w:rFonts w:asciiTheme="minorHAnsi" w:hAnsiTheme="minorHAnsi"/>
        </w:rPr>
      </w:pPr>
      <w:r w:rsidRPr="00A15487">
        <w:rPr>
          <w:rFonts w:asciiTheme="minorHAnsi" w:hAnsiTheme="minorHAnsi"/>
        </w:rPr>
        <w:t>Description</w:t>
      </w:r>
      <w:r>
        <w:rPr>
          <w:rFonts w:asciiTheme="minorHAnsi" w:hAnsiTheme="minorHAnsi"/>
        </w:rPr>
        <w:t xml:space="preserve"> of:</w:t>
      </w:r>
    </w:p>
    <w:p w:rsidR="00A15487" w:rsidRPr="00A15487" w:rsidRDefault="00A15487" w:rsidP="00A15487">
      <w:pPr>
        <w:pStyle w:val="ListParagraph"/>
        <w:ind w:left="1440"/>
        <w:textAlignment w:val="baseline"/>
        <w:rPr>
          <w:rFonts w:asciiTheme="minorHAnsi" w:hAnsiTheme="minorHAnsi"/>
        </w:rPr>
      </w:pPr>
      <w:r w:rsidRPr="00A15487">
        <w:rPr>
          <w:rFonts w:asciiTheme="minorHAnsi" w:hAnsiTheme="minorHAnsi"/>
        </w:rPr>
        <w:t xml:space="preserve">a) how the facility will securely transfer health information to a hospital, home health agency, or other providers for any resident transferred or discharged from the facility; </w:t>
      </w:r>
    </w:p>
    <w:p w:rsidR="00A15487" w:rsidRPr="00A15487" w:rsidRDefault="00A15487" w:rsidP="00A15487">
      <w:pPr>
        <w:pStyle w:val="ListParagraph"/>
        <w:ind w:firstLine="720"/>
        <w:textAlignment w:val="baseline"/>
        <w:rPr>
          <w:rFonts w:asciiTheme="minorHAnsi" w:hAnsiTheme="minorHAnsi"/>
        </w:rPr>
      </w:pPr>
      <w:r w:rsidRPr="00A15487">
        <w:rPr>
          <w:rFonts w:asciiTheme="minorHAnsi" w:hAnsiTheme="minorHAnsi"/>
        </w:rPr>
        <w:t xml:space="preserve">b) how downtime procedures are developed and implemented; and </w:t>
      </w:r>
    </w:p>
    <w:p w:rsidR="00A15487" w:rsidRDefault="00A15487" w:rsidP="00A15487">
      <w:pPr>
        <w:pStyle w:val="ListParagraph"/>
        <w:ind w:left="1440"/>
        <w:textAlignment w:val="baseline"/>
        <w:rPr>
          <w:rFonts w:asciiTheme="minorHAnsi" w:hAnsiTheme="minorHAnsi"/>
        </w:rPr>
      </w:pPr>
      <w:r w:rsidRPr="00A15487">
        <w:rPr>
          <w:rFonts w:asciiTheme="minorHAnsi" w:hAnsiTheme="minorHAnsi"/>
        </w:rPr>
        <w:t>c) how the facility ensures that residents and their representative can access their records upon request and obtain copies within required timeframes.</w:t>
      </w:r>
    </w:p>
    <w:p w:rsidR="00335870" w:rsidRPr="00335870" w:rsidRDefault="00335870" w:rsidP="00335870">
      <w:pPr>
        <w:textAlignment w:val="baseline"/>
        <w:rPr>
          <w:rFonts w:asciiTheme="minorHAnsi" w:hAnsiTheme="minorHAnsi"/>
        </w:rPr>
      </w:pPr>
    </w:p>
    <w:p w:rsidR="00ED07B3" w:rsidRPr="00A15487" w:rsidRDefault="00D258BD" w:rsidP="00335870">
      <w:pPr>
        <w:pStyle w:val="BodyText2"/>
        <w:numPr>
          <w:ilvl w:val="0"/>
          <w:numId w:val="14"/>
        </w:numPr>
        <w:spacing w:before="0"/>
        <w:rPr>
          <w:sz w:val="24"/>
          <w:szCs w:val="24"/>
        </w:rPr>
      </w:pPr>
      <w:r w:rsidRPr="00A15487">
        <w:rPr>
          <w:sz w:val="24"/>
          <w:szCs w:val="24"/>
        </w:rPr>
        <w:t>Write a narrative description of the facility’s health information exchange program if utilized, adding information on HIPAA security policies, software and hardware testing that has been completed to ensure a secure environment.</w:t>
      </w:r>
    </w:p>
    <w:p w:rsidR="00E153AD" w:rsidRDefault="00E153AD">
      <w:pPr>
        <w:spacing w:after="160" w:line="259" w:lineRule="auto"/>
        <w:rPr>
          <w:rFonts w:asciiTheme="minorHAnsi" w:hAnsiTheme="minorHAnsi"/>
          <w:b/>
          <w:sz w:val="28"/>
          <w:szCs w:val="28"/>
        </w:rPr>
      </w:pPr>
    </w:p>
    <w:p w:rsidR="00A15487" w:rsidRPr="00A15487" w:rsidRDefault="00A15487" w:rsidP="00A15487">
      <w:pPr>
        <w:pStyle w:val="Heading2"/>
        <w:rPr>
          <w:sz w:val="26"/>
        </w:rPr>
      </w:pPr>
      <w:r w:rsidRPr="00A15487">
        <w:rPr>
          <w:sz w:val="24"/>
        </w:rPr>
        <w:t xml:space="preserve">HOW TO INCORPORATE INTO THE FACILITY ASSESSMENT  </w:t>
      </w:r>
    </w:p>
    <w:p w:rsidR="00A15487" w:rsidRDefault="00A15487" w:rsidP="00A15487">
      <w:pPr>
        <w:textAlignment w:val="baseline"/>
        <w:rPr>
          <w:rFonts w:asciiTheme="minorHAnsi" w:hAnsiTheme="minorHAnsi" w:cs="Segoe UI"/>
          <w:bCs/>
          <w:szCs w:val="24"/>
        </w:rPr>
      </w:pPr>
      <w:r>
        <w:rPr>
          <w:rFonts w:asciiTheme="minorHAnsi" w:hAnsiTheme="minorHAnsi"/>
          <w:iCs/>
          <w:szCs w:val="24"/>
        </w:rPr>
        <w:t xml:space="preserve">Per </w:t>
      </w:r>
      <w:r>
        <w:rPr>
          <w:rFonts w:asciiTheme="minorHAnsi" w:hAnsiTheme="minorHAnsi"/>
          <w:b/>
          <w:iCs/>
          <w:szCs w:val="24"/>
        </w:rPr>
        <w:t>§483.70(e), t</w:t>
      </w:r>
      <w:r>
        <w:rPr>
          <w:rFonts w:asciiTheme="minorHAnsi" w:hAnsiTheme="minorHAnsi"/>
          <w:iCs/>
          <w:szCs w:val="24"/>
        </w:rPr>
        <w:t xml:space="preserve">he facility assessment must include or address an evaluation of the facility’s </w:t>
      </w:r>
      <w:r w:rsidR="00020946">
        <w:rPr>
          <w:rFonts w:asciiTheme="minorHAnsi" w:hAnsiTheme="minorHAnsi"/>
          <w:iCs/>
          <w:szCs w:val="24"/>
        </w:rPr>
        <w:t xml:space="preserve">health information technology </w:t>
      </w:r>
      <w:r>
        <w:rPr>
          <w:rFonts w:asciiTheme="minorHAnsi" w:hAnsiTheme="minorHAnsi"/>
          <w:iCs/>
          <w:szCs w:val="24"/>
        </w:rPr>
        <w:t>resources as indicated in the requirements.  Therefore, i</w:t>
      </w:r>
      <w:r>
        <w:rPr>
          <w:rFonts w:asciiTheme="minorHAnsi" w:hAnsiTheme="minorHAnsi" w:cs="Segoe UI"/>
          <w:bCs/>
          <w:szCs w:val="24"/>
        </w:rPr>
        <w:t>t is important to:</w:t>
      </w: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Gather the</w:t>
      </w:r>
      <w:r w:rsidR="00020946">
        <w:rPr>
          <w:rFonts w:asciiTheme="minorHAnsi" w:hAnsiTheme="minorHAnsi" w:cs="Segoe UI"/>
          <w:bCs/>
          <w:szCs w:val="24"/>
        </w:rPr>
        <w:t xml:space="preserve"> necessary information as indicated above</w:t>
      </w: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Use the information to answer the questions:</w:t>
      </w:r>
    </w:p>
    <w:p w:rsidR="00020946" w:rsidRPr="00020946" w:rsidRDefault="00020946" w:rsidP="00020946">
      <w:pPr>
        <w:pStyle w:val="ListParagraph"/>
        <w:numPr>
          <w:ilvl w:val="1"/>
          <w:numId w:val="15"/>
        </w:numPr>
        <w:rPr>
          <w:rFonts w:asciiTheme="minorHAnsi" w:hAnsiTheme="minorHAnsi"/>
          <w:sz w:val="22"/>
        </w:rPr>
      </w:pPr>
      <w:r w:rsidRPr="00020946">
        <w:rPr>
          <w:rFonts w:asciiTheme="minorHAnsi" w:hAnsiTheme="minorHAnsi"/>
        </w:rPr>
        <w:t>How do we manage patient records in our organization such as what type of electronic health record software do we use</w:t>
      </w:r>
      <w:r>
        <w:rPr>
          <w:rFonts w:asciiTheme="minorHAnsi" w:hAnsiTheme="minorHAnsi"/>
        </w:rPr>
        <w:t>?</w:t>
      </w:r>
    </w:p>
    <w:p w:rsidR="00020946" w:rsidRPr="00020946" w:rsidRDefault="00020946" w:rsidP="00020946">
      <w:pPr>
        <w:pStyle w:val="ListParagraph"/>
        <w:numPr>
          <w:ilvl w:val="1"/>
          <w:numId w:val="15"/>
        </w:numPr>
        <w:rPr>
          <w:rFonts w:asciiTheme="minorHAnsi" w:hAnsiTheme="minorHAnsi"/>
        </w:rPr>
      </w:pPr>
      <w:r w:rsidRPr="00020946">
        <w:rPr>
          <w:rFonts w:asciiTheme="minorHAnsi" w:hAnsiTheme="minorHAnsi"/>
        </w:rPr>
        <w:t>Are we paper, electronic or a combination of both</w:t>
      </w:r>
      <w:r>
        <w:rPr>
          <w:rFonts w:asciiTheme="minorHAnsi" w:hAnsiTheme="minorHAnsi"/>
        </w:rPr>
        <w:t>?</w:t>
      </w:r>
    </w:p>
    <w:p w:rsidR="00020946" w:rsidRPr="00020946" w:rsidRDefault="00020946" w:rsidP="00020946">
      <w:pPr>
        <w:pStyle w:val="ListParagraph"/>
        <w:numPr>
          <w:ilvl w:val="1"/>
          <w:numId w:val="15"/>
        </w:numPr>
        <w:rPr>
          <w:rFonts w:asciiTheme="minorHAnsi" w:hAnsiTheme="minorHAnsi"/>
        </w:rPr>
      </w:pPr>
      <w:r>
        <w:rPr>
          <w:rFonts w:asciiTheme="minorHAnsi" w:hAnsiTheme="minorHAnsi"/>
        </w:rPr>
        <w:t>If we participate in H</w:t>
      </w:r>
      <w:r w:rsidRPr="00020946">
        <w:rPr>
          <w:rFonts w:asciiTheme="minorHAnsi" w:hAnsiTheme="minorHAnsi"/>
        </w:rPr>
        <w:t>I</w:t>
      </w:r>
      <w:r>
        <w:rPr>
          <w:rFonts w:asciiTheme="minorHAnsi" w:hAnsiTheme="minorHAnsi"/>
        </w:rPr>
        <w:t>E</w:t>
      </w:r>
      <w:r w:rsidRPr="00020946">
        <w:rPr>
          <w:rFonts w:asciiTheme="minorHAnsi" w:hAnsiTheme="minorHAnsi"/>
        </w:rPr>
        <w:t>, what is our system for electronically sharing HI with other organizations?</w:t>
      </w:r>
    </w:p>
    <w:p w:rsidR="00A15487" w:rsidRDefault="00A15487" w:rsidP="00A15487">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t>Incorporate your processes into your QAPI plan</w:t>
      </w:r>
    </w:p>
    <w:p w:rsidR="00A15487" w:rsidRDefault="00A15487" w:rsidP="00A15487">
      <w:pPr>
        <w:pStyle w:val="ListParagraph"/>
        <w:numPr>
          <w:ilvl w:val="0"/>
          <w:numId w:val="16"/>
        </w:numPr>
        <w:textAlignment w:val="baseline"/>
        <w:rPr>
          <w:rFonts w:asciiTheme="minorHAnsi" w:eastAsiaTheme="minorHAnsi" w:hAnsiTheme="minorHAnsi"/>
          <w:bCs/>
          <w:color w:val="000000"/>
          <w:szCs w:val="24"/>
        </w:rPr>
      </w:pPr>
      <w:r>
        <w:rPr>
          <w:rFonts w:asciiTheme="minorHAnsi" w:hAnsiTheme="minorHAnsi" w:cs="Segoe UI"/>
          <w:bCs/>
          <w:szCs w:val="24"/>
        </w:rPr>
        <w:t xml:space="preserve">Monitor the facility assessment annually or </w:t>
      </w:r>
      <w:r>
        <w:rPr>
          <w:rFonts w:asciiTheme="minorHAnsi" w:eastAsiaTheme="minorHAnsi" w:hAnsiTheme="minorHAnsi"/>
          <w:bCs/>
          <w:color w:val="000000"/>
          <w:szCs w:val="24"/>
        </w:rPr>
        <w:t xml:space="preserve">upon a change in the facility’s operation that would require a substantial modification in the assessment and adjust the facility training plan accordingly. </w:t>
      </w:r>
    </w:p>
    <w:p w:rsidR="00A15487" w:rsidRDefault="00A15487" w:rsidP="00A15487">
      <w:pPr>
        <w:pStyle w:val="ListParagraph"/>
        <w:numPr>
          <w:ilvl w:val="0"/>
          <w:numId w:val="15"/>
        </w:numPr>
        <w:textAlignment w:val="baseline"/>
        <w:rPr>
          <w:rFonts w:asciiTheme="minorHAnsi" w:hAnsiTheme="minorHAnsi" w:cs="Segoe UI"/>
          <w:bCs/>
          <w:szCs w:val="24"/>
        </w:rPr>
      </w:pPr>
      <w:r>
        <w:rPr>
          <w:rFonts w:asciiTheme="minorHAnsi" w:hAnsiTheme="minorHAnsi" w:cs="Segoe UI"/>
          <w:bCs/>
          <w:szCs w:val="24"/>
        </w:rPr>
        <w:t xml:space="preserve">Write a narrative description of the facility’s </w:t>
      </w:r>
      <w:r w:rsidR="00020946">
        <w:rPr>
          <w:rFonts w:asciiTheme="minorHAnsi" w:hAnsiTheme="minorHAnsi" w:cs="Segoe UI"/>
          <w:bCs/>
          <w:szCs w:val="24"/>
        </w:rPr>
        <w:t>health information technology resources</w:t>
      </w:r>
      <w:r>
        <w:rPr>
          <w:rFonts w:asciiTheme="minorHAnsi" w:hAnsiTheme="minorHAnsi" w:cs="Segoe UI"/>
          <w:bCs/>
          <w:szCs w:val="24"/>
        </w:rPr>
        <w:t xml:space="preserve"> for inclusion, see below, into the narrative Facility Assessment.  See the Facility Assessment Template.</w:t>
      </w:r>
    </w:p>
    <w:p w:rsidR="009E1554" w:rsidRDefault="009E1554">
      <w:pPr>
        <w:spacing w:after="160" w:line="259" w:lineRule="auto"/>
        <w:rPr>
          <w:rFonts w:asciiTheme="minorHAnsi" w:hAnsiTheme="minorHAnsi"/>
          <w:b/>
          <w:sz w:val="28"/>
          <w:szCs w:val="28"/>
        </w:rPr>
      </w:pPr>
    </w:p>
    <w:p w:rsidR="00DF2358" w:rsidRDefault="00DF2358" w:rsidP="00DF2358">
      <w:pPr>
        <w:jc w:val="center"/>
        <w:textAlignment w:val="baseline"/>
        <w:rPr>
          <w:rFonts w:asciiTheme="minorHAnsi" w:hAnsiTheme="minorHAnsi" w:cs="Segoe UI"/>
          <w:b/>
          <w:bCs/>
          <w:szCs w:val="24"/>
        </w:rPr>
      </w:pPr>
      <w:r>
        <w:rPr>
          <w:rFonts w:asciiTheme="minorHAnsi" w:hAnsiTheme="minorHAnsi" w:cs="Segoe UI"/>
          <w:b/>
          <w:bCs/>
          <w:szCs w:val="24"/>
        </w:rPr>
        <w:t xml:space="preserve">See the Facility Assessment Template SAMPLE related to the inclusion of the necessary information obtained via this process for the completion of the Facility Assessment. </w:t>
      </w:r>
    </w:p>
    <w:p w:rsidR="00020946" w:rsidRDefault="00020946">
      <w:pPr>
        <w:spacing w:after="160" w:line="259" w:lineRule="auto"/>
        <w:rPr>
          <w:rFonts w:asciiTheme="minorHAnsi" w:hAnsiTheme="minorHAnsi"/>
          <w:b/>
          <w:sz w:val="28"/>
          <w:szCs w:val="28"/>
        </w:rPr>
      </w:pPr>
    </w:p>
    <w:p w:rsidR="00335870" w:rsidRDefault="00335870" w:rsidP="00FA28AB">
      <w:pPr>
        <w:rPr>
          <w:rFonts w:asciiTheme="minorHAnsi" w:hAnsiTheme="minorHAnsi"/>
          <w:b/>
          <w:sz w:val="28"/>
          <w:szCs w:val="28"/>
        </w:rPr>
      </w:pPr>
    </w:p>
    <w:p w:rsidR="00FA28AB" w:rsidRPr="00A410E8" w:rsidRDefault="00FA28AB" w:rsidP="00FA28AB">
      <w:pPr>
        <w:rPr>
          <w:rFonts w:asciiTheme="minorHAnsi" w:hAnsiTheme="minorHAnsi"/>
          <w:b/>
          <w:sz w:val="28"/>
          <w:szCs w:val="28"/>
        </w:rPr>
      </w:pPr>
      <w:bookmarkStart w:id="0" w:name="_GoBack"/>
      <w:bookmarkEnd w:id="0"/>
      <w:r w:rsidRPr="00A410E8">
        <w:rPr>
          <w:rFonts w:asciiTheme="minorHAnsi" w:hAnsiTheme="minorHAnsi"/>
          <w:b/>
          <w:sz w:val="28"/>
          <w:szCs w:val="28"/>
        </w:rPr>
        <w:lastRenderedPageBreak/>
        <w:t>References</w:t>
      </w:r>
    </w:p>
    <w:p w:rsidR="00FA28AB" w:rsidRPr="00A410E8" w:rsidRDefault="00FA28AB" w:rsidP="00FA28AB">
      <w:pPr>
        <w:rPr>
          <w:rFonts w:asciiTheme="minorHAnsi" w:hAnsiTheme="minorHAnsi"/>
        </w:rPr>
      </w:pPr>
    </w:p>
    <w:p w:rsidR="00254833" w:rsidRPr="00E153AD" w:rsidRDefault="00254833" w:rsidP="00254833">
      <w:pPr>
        <w:rPr>
          <w:rFonts w:asciiTheme="minorHAnsi" w:hAnsiTheme="minorHAnsi" w:cs="Arial"/>
          <w:b/>
          <w:sz w:val="28"/>
          <w:szCs w:val="24"/>
        </w:rPr>
      </w:pPr>
      <w:r w:rsidRPr="00E153AD">
        <w:rPr>
          <w:rFonts w:asciiTheme="minorHAnsi" w:eastAsiaTheme="minorHAnsi" w:hAnsiTheme="minorHAnsi"/>
          <w:b/>
          <w:bCs/>
          <w:color w:val="000000"/>
          <w:szCs w:val="23"/>
        </w:rPr>
        <w:t>State Operations Manual (SOM) Appendix PP for Phase 2, F-Tag Revisions, and Related Issues</w:t>
      </w:r>
    </w:p>
    <w:p w:rsidR="00254833" w:rsidRPr="00A410E8" w:rsidRDefault="00335870" w:rsidP="00FA28AB">
      <w:pPr>
        <w:rPr>
          <w:rFonts w:asciiTheme="minorHAnsi" w:hAnsiTheme="minorHAnsi" w:cs="Arial"/>
          <w:szCs w:val="24"/>
        </w:rPr>
      </w:pPr>
      <w:hyperlink r:id="rId8" w:history="1">
        <w:r w:rsidR="00254833" w:rsidRPr="00A410E8">
          <w:rPr>
            <w:rStyle w:val="Hyperlink"/>
            <w:rFonts w:asciiTheme="minorHAnsi" w:hAnsiTheme="minorHAnsi" w:cs="Arial"/>
            <w:szCs w:val="24"/>
          </w:rPr>
          <w:t>www.cms.gov/Medicare/Provider-Enrollment-and-Certification/GuidanceforLawsAndRegulations/Downloads/Advance-Appendix-PP-Including-Phase-2-.pdf</w:t>
        </w:r>
      </w:hyperlink>
      <w:r w:rsidR="00254833" w:rsidRPr="00A410E8">
        <w:rPr>
          <w:rFonts w:asciiTheme="minorHAnsi" w:hAnsiTheme="minorHAnsi" w:cs="Arial"/>
          <w:szCs w:val="24"/>
        </w:rPr>
        <w:t xml:space="preserve"> </w:t>
      </w:r>
    </w:p>
    <w:p w:rsidR="00254833" w:rsidRDefault="00254833" w:rsidP="00FA28AB">
      <w:pPr>
        <w:rPr>
          <w:rFonts w:asciiTheme="minorHAnsi" w:hAnsiTheme="minorHAnsi" w:cs="Arial"/>
          <w:szCs w:val="24"/>
        </w:rPr>
      </w:pPr>
    </w:p>
    <w:p w:rsidR="00E153AD" w:rsidRPr="00E153AD" w:rsidRDefault="00E153AD" w:rsidP="00FA28AB">
      <w:pPr>
        <w:rPr>
          <w:rFonts w:asciiTheme="minorHAnsi" w:hAnsiTheme="minorHAnsi" w:cs="Arial"/>
          <w:b/>
          <w:szCs w:val="24"/>
        </w:rPr>
      </w:pPr>
      <w:r w:rsidRPr="00E153AD">
        <w:rPr>
          <w:rFonts w:asciiTheme="minorHAnsi" w:hAnsiTheme="minorHAnsi" w:cs="Arial"/>
          <w:b/>
          <w:szCs w:val="24"/>
        </w:rPr>
        <w:t>CMS – EHR Incentive Programs</w:t>
      </w:r>
    </w:p>
    <w:p w:rsidR="003F0ABC" w:rsidRDefault="00335870" w:rsidP="00E153AD">
      <w:pPr>
        <w:pStyle w:val="NoSpacing"/>
      </w:pPr>
      <w:hyperlink r:id="rId9" w:history="1">
        <w:r w:rsidR="00E153AD" w:rsidRPr="00E153AD">
          <w:rPr>
            <w:rStyle w:val="Hyperlink"/>
            <w:rFonts w:asciiTheme="minorHAnsi" w:hAnsiTheme="minorHAnsi"/>
            <w:szCs w:val="24"/>
          </w:rPr>
          <w:t>https://www.cms.gov/Regulations-and-Guidance/Legislation/EHRIncentivePrograms/2016ProgramRequirements.html</w:t>
        </w:r>
      </w:hyperlink>
      <w:r w:rsidR="00E153AD" w:rsidRPr="00E153AD">
        <w:t xml:space="preserve"> </w:t>
      </w:r>
    </w:p>
    <w:p w:rsidR="00E153AD" w:rsidRDefault="00E153AD" w:rsidP="00E153AD">
      <w:pPr>
        <w:pStyle w:val="NoSpacing"/>
      </w:pPr>
    </w:p>
    <w:p w:rsidR="00E153AD" w:rsidRPr="00E153AD" w:rsidRDefault="00E153AD" w:rsidP="00E153AD">
      <w:pPr>
        <w:pStyle w:val="NoSpacing"/>
        <w:rPr>
          <w:rFonts w:asciiTheme="minorHAnsi" w:hAnsiTheme="minorHAnsi"/>
          <w:b/>
        </w:rPr>
      </w:pPr>
      <w:r w:rsidRPr="00E153AD">
        <w:rPr>
          <w:rFonts w:asciiTheme="minorHAnsi" w:hAnsiTheme="minorHAnsi"/>
          <w:b/>
        </w:rPr>
        <w:t>HIPAA Security Rule</w:t>
      </w:r>
    </w:p>
    <w:p w:rsidR="003F0ABC" w:rsidRDefault="00335870" w:rsidP="00E153AD">
      <w:pPr>
        <w:pStyle w:val="NoSpacing"/>
      </w:pPr>
      <w:hyperlink r:id="rId10" w:history="1">
        <w:r w:rsidR="00E153AD" w:rsidRPr="00B07949">
          <w:rPr>
            <w:rStyle w:val="Hyperlink"/>
            <w:rFonts w:ascii="Calibri" w:hAnsi="Calibri"/>
            <w:szCs w:val="24"/>
          </w:rPr>
          <w:t>https://www.hhs.gov/hipaa/for-professionals/security/laws-regulations/index.html</w:t>
        </w:r>
      </w:hyperlink>
      <w:r w:rsidR="00E153AD">
        <w:t xml:space="preserve"> </w:t>
      </w:r>
    </w:p>
    <w:p w:rsidR="00E153AD" w:rsidRDefault="00E153AD" w:rsidP="00E153AD">
      <w:pPr>
        <w:pStyle w:val="NoSpacing"/>
      </w:pPr>
    </w:p>
    <w:p w:rsidR="00E153AD" w:rsidRPr="00E153AD" w:rsidRDefault="00E153AD" w:rsidP="00E153AD">
      <w:pPr>
        <w:pStyle w:val="NoSpacing"/>
        <w:rPr>
          <w:rFonts w:asciiTheme="minorHAnsi" w:hAnsiTheme="minorHAnsi"/>
          <w:b/>
        </w:rPr>
      </w:pPr>
      <w:r w:rsidRPr="00E153AD">
        <w:rPr>
          <w:rFonts w:asciiTheme="minorHAnsi" w:hAnsiTheme="minorHAnsi"/>
          <w:b/>
        </w:rPr>
        <w:t>Guide to Reducing Unintended Consequences of Electronic Health Records</w:t>
      </w:r>
    </w:p>
    <w:p w:rsidR="003F0ABC" w:rsidRPr="00E153AD" w:rsidRDefault="00335870" w:rsidP="00E153AD">
      <w:pPr>
        <w:pStyle w:val="NoSpacing"/>
        <w:rPr>
          <w:rFonts w:asciiTheme="minorHAnsi" w:hAnsiTheme="minorHAnsi"/>
        </w:rPr>
      </w:pPr>
      <w:hyperlink r:id="rId11" w:history="1">
        <w:r w:rsidR="00E153AD" w:rsidRPr="00E153AD">
          <w:rPr>
            <w:rStyle w:val="Hyperlink"/>
            <w:rFonts w:asciiTheme="minorHAnsi" w:hAnsiTheme="minorHAnsi"/>
          </w:rPr>
          <w:t>https://www.healthit.gov/unintended-consequences/</w:t>
        </w:r>
      </w:hyperlink>
    </w:p>
    <w:p w:rsidR="00E153AD" w:rsidRDefault="00E153AD" w:rsidP="00E153AD">
      <w:pPr>
        <w:pStyle w:val="NoSpacing"/>
      </w:pPr>
    </w:p>
    <w:p w:rsidR="00020946" w:rsidRDefault="00020946" w:rsidP="00020946">
      <w:pPr>
        <w:shd w:val="clear" w:color="auto" w:fill="FFFFFF"/>
        <w:spacing w:after="270" w:line="270" w:lineRule="atLeast"/>
        <w:rPr>
          <w:rFonts w:asciiTheme="minorHAnsi" w:hAnsiTheme="minorHAnsi" w:cs="Helvetica"/>
          <w:szCs w:val="24"/>
        </w:rPr>
      </w:pPr>
      <w:r w:rsidRPr="00020946">
        <w:rPr>
          <w:rFonts w:asciiTheme="minorHAnsi" w:hAnsiTheme="minorHAnsi" w:cs="Helvetica"/>
          <w:b/>
          <w:szCs w:val="24"/>
        </w:rPr>
        <w:t xml:space="preserve">Quality Improvement Organizations, Facility Assessment Tool (2017),  </w:t>
      </w:r>
      <w:hyperlink r:id="rId12" w:history="1">
        <w:r>
          <w:rPr>
            <w:rStyle w:val="Hyperlink"/>
            <w:rFonts w:asciiTheme="minorHAnsi" w:hAnsiTheme="minorHAnsi" w:cs="Helvetica"/>
            <w:szCs w:val="24"/>
          </w:rPr>
          <w:t>http://qioprogram.org/facility-assessment-tool</w:t>
        </w:r>
      </w:hyperlink>
      <w:r>
        <w:rPr>
          <w:rFonts w:asciiTheme="minorHAnsi" w:hAnsiTheme="minorHAnsi" w:cs="Helvetica"/>
          <w:szCs w:val="24"/>
        </w:rPr>
        <w:t xml:space="preserve"> </w:t>
      </w:r>
    </w:p>
    <w:p w:rsidR="00020946" w:rsidRPr="003F0ABC" w:rsidRDefault="00020946" w:rsidP="00E153AD">
      <w:pPr>
        <w:pStyle w:val="NoSpacing"/>
      </w:pPr>
    </w:p>
    <w:sectPr w:rsidR="00020946" w:rsidRPr="003F0ABC" w:rsidSect="00DE7AF9">
      <w:headerReference w:type="default" r:id="rId13"/>
      <w:footerReference w:type="default" r:id="rId14"/>
      <w:head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D8" w:rsidRDefault="00C57CD8" w:rsidP="00FE158D">
      <w:r>
        <w:separator/>
      </w:r>
    </w:p>
  </w:endnote>
  <w:endnote w:type="continuationSeparator" w:id="0">
    <w:p w:rsidR="00C57CD8" w:rsidRDefault="00C57CD8"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FE158D">
    <w:pPr>
      <w:pStyle w:val="Footer"/>
    </w:pPr>
    <w:r>
      <w:t xml:space="preserve">                                                                                                            </w:t>
    </w:r>
  </w:p>
  <w:p w:rsidR="00335870" w:rsidRPr="00061AB8" w:rsidRDefault="00335870" w:rsidP="00335870">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This document is for general informational purposes only.  </w:t>
    </w:r>
  </w:p>
  <w:p w:rsidR="00335870" w:rsidRPr="00061AB8" w:rsidRDefault="00335870" w:rsidP="00335870">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It does not represent legal advice nor relied upon as supporting documentation or advice with CMS or other regulatory entities.</w:t>
    </w:r>
  </w:p>
  <w:p w:rsidR="00CF63ED" w:rsidRPr="00335870" w:rsidRDefault="00335870" w:rsidP="00335870">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 Pathway Health Services, Inc. – All Rights Reserved – Copy with Permission Only – The </w:t>
    </w:r>
    <w:proofErr w:type="spellStart"/>
    <w:r w:rsidRPr="00061AB8">
      <w:rPr>
        <w:rFonts w:ascii="Calibri" w:eastAsia="Calibri" w:hAnsi="Calibri"/>
        <w:sz w:val="16"/>
        <w:szCs w:val="16"/>
      </w:rPr>
      <w:t>RoP</w:t>
    </w:r>
    <w:proofErr w:type="spellEnd"/>
    <w:r w:rsidRPr="00061AB8">
      <w:rPr>
        <w:rFonts w:ascii="Calibri" w:eastAsia="Calibri" w:hAnsi="Calibri"/>
        <w:sz w:val="16"/>
        <w:szCs w:val="16"/>
      </w:rPr>
      <w:t xml:space="preserve"> Facility Assessment Toolkit</w:t>
    </w:r>
    <w:r>
      <w:rPr>
        <w:rFonts w:ascii="Calibri" w:eastAsia="Calibri" w:hAnsi="Calibri"/>
        <w:sz w:val="16"/>
        <w:szCs w:val="16"/>
      </w:rPr>
      <w:t xml:space="preserve"> - 2017</w:t>
    </w:r>
    <w:r w:rsidRPr="00061AB8">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D8" w:rsidRDefault="00C57CD8" w:rsidP="00FE158D">
      <w:r>
        <w:separator/>
      </w:r>
    </w:p>
  </w:footnote>
  <w:footnote w:type="continuationSeparator" w:id="0">
    <w:p w:rsidR="00C57CD8" w:rsidRDefault="00C57CD8"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3ED" w:rsidRDefault="00CF63ED"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ECD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682"/>
    <w:multiLevelType w:val="hybridMultilevel"/>
    <w:tmpl w:val="53380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669B"/>
    <w:multiLevelType w:val="hybridMultilevel"/>
    <w:tmpl w:val="1C0A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6B3D"/>
    <w:multiLevelType w:val="hybridMultilevel"/>
    <w:tmpl w:val="915AC1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B25A13"/>
    <w:multiLevelType w:val="hybridMultilevel"/>
    <w:tmpl w:val="361C3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05F28"/>
    <w:multiLevelType w:val="hybridMultilevel"/>
    <w:tmpl w:val="BEAA3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4833"/>
    <w:multiLevelType w:val="hybridMultilevel"/>
    <w:tmpl w:val="3232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31740"/>
    <w:multiLevelType w:val="hybridMultilevel"/>
    <w:tmpl w:val="6D3C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93534"/>
    <w:multiLevelType w:val="hybridMultilevel"/>
    <w:tmpl w:val="7142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320D6"/>
    <w:multiLevelType w:val="hybridMultilevel"/>
    <w:tmpl w:val="877E6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77B79"/>
    <w:multiLevelType w:val="hybridMultilevel"/>
    <w:tmpl w:val="46AC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40DF"/>
    <w:multiLevelType w:val="hybridMultilevel"/>
    <w:tmpl w:val="D79C0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2A2D92"/>
    <w:multiLevelType w:val="hybridMultilevel"/>
    <w:tmpl w:val="DBEEE1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B701B"/>
    <w:multiLevelType w:val="hybridMultilevel"/>
    <w:tmpl w:val="263C5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5"/>
  </w:num>
  <w:num w:numId="6">
    <w:abstractNumId w:val="13"/>
  </w:num>
  <w:num w:numId="7">
    <w:abstractNumId w:val="2"/>
  </w:num>
  <w:num w:numId="8">
    <w:abstractNumId w:val="7"/>
  </w:num>
  <w:num w:numId="9">
    <w:abstractNumId w:val="6"/>
  </w:num>
  <w:num w:numId="10">
    <w:abstractNumId w:val="10"/>
  </w:num>
  <w:num w:numId="11">
    <w:abstractNumId w:val="14"/>
  </w:num>
  <w:num w:numId="12">
    <w:abstractNumId w:val="11"/>
  </w:num>
  <w:num w:numId="13">
    <w:abstractNumId w:val="3"/>
  </w:num>
  <w:num w:numId="14">
    <w:abstractNumId w:val="12"/>
  </w:num>
  <w:num w:numId="15">
    <w:abstractNumId w:val="13"/>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20946"/>
    <w:rsid w:val="00066D50"/>
    <w:rsid w:val="0007170F"/>
    <w:rsid w:val="00086BCD"/>
    <w:rsid w:val="000A2EFB"/>
    <w:rsid w:val="000D5B62"/>
    <w:rsid w:val="000E228A"/>
    <w:rsid w:val="000F471A"/>
    <w:rsid w:val="000F7E90"/>
    <w:rsid w:val="0010226D"/>
    <w:rsid w:val="0012309D"/>
    <w:rsid w:val="00123F66"/>
    <w:rsid w:val="001354AD"/>
    <w:rsid w:val="00157499"/>
    <w:rsid w:val="00170AD2"/>
    <w:rsid w:val="0017697B"/>
    <w:rsid w:val="00185739"/>
    <w:rsid w:val="001A023A"/>
    <w:rsid w:val="001B1FFE"/>
    <w:rsid w:val="001F345D"/>
    <w:rsid w:val="001F4CE0"/>
    <w:rsid w:val="002200EE"/>
    <w:rsid w:val="002376A2"/>
    <w:rsid w:val="00254833"/>
    <w:rsid w:val="002652DA"/>
    <w:rsid w:val="00282F4B"/>
    <w:rsid w:val="002A6EB6"/>
    <w:rsid w:val="002B6EE5"/>
    <w:rsid w:val="002C5F29"/>
    <w:rsid w:val="002F2B8A"/>
    <w:rsid w:val="003011C7"/>
    <w:rsid w:val="00301AA8"/>
    <w:rsid w:val="00335870"/>
    <w:rsid w:val="003510B5"/>
    <w:rsid w:val="00351ACA"/>
    <w:rsid w:val="00372DF7"/>
    <w:rsid w:val="00373CF0"/>
    <w:rsid w:val="003A3E8D"/>
    <w:rsid w:val="003B0939"/>
    <w:rsid w:val="003D64B3"/>
    <w:rsid w:val="003E63F5"/>
    <w:rsid w:val="003E68A2"/>
    <w:rsid w:val="003F0ABC"/>
    <w:rsid w:val="003F0C77"/>
    <w:rsid w:val="00400352"/>
    <w:rsid w:val="004008D7"/>
    <w:rsid w:val="004100F7"/>
    <w:rsid w:val="00435985"/>
    <w:rsid w:val="004720C6"/>
    <w:rsid w:val="00480768"/>
    <w:rsid w:val="00484785"/>
    <w:rsid w:val="00484844"/>
    <w:rsid w:val="00497288"/>
    <w:rsid w:val="004C3CBF"/>
    <w:rsid w:val="004D2B4D"/>
    <w:rsid w:val="004D7E49"/>
    <w:rsid w:val="004E0037"/>
    <w:rsid w:val="0050151E"/>
    <w:rsid w:val="00510B9B"/>
    <w:rsid w:val="0053154F"/>
    <w:rsid w:val="00534CAA"/>
    <w:rsid w:val="0053732B"/>
    <w:rsid w:val="005438CB"/>
    <w:rsid w:val="005721A3"/>
    <w:rsid w:val="00590112"/>
    <w:rsid w:val="00593E4B"/>
    <w:rsid w:val="005B0500"/>
    <w:rsid w:val="005B5EB5"/>
    <w:rsid w:val="005F036A"/>
    <w:rsid w:val="005F0AF8"/>
    <w:rsid w:val="005F22B6"/>
    <w:rsid w:val="006029A6"/>
    <w:rsid w:val="006034EC"/>
    <w:rsid w:val="00603AC0"/>
    <w:rsid w:val="00605605"/>
    <w:rsid w:val="00605D82"/>
    <w:rsid w:val="00610027"/>
    <w:rsid w:val="00612A38"/>
    <w:rsid w:val="00613D88"/>
    <w:rsid w:val="006338B1"/>
    <w:rsid w:val="006760FF"/>
    <w:rsid w:val="00677407"/>
    <w:rsid w:val="006A3CC2"/>
    <w:rsid w:val="006A63AF"/>
    <w:rsid w:val="006B2ED2"/>
    <w:rsid w:val="006D6FE1"/>
    <w:rsid w:val="0072070A"/>
    <w:rsid w:val="007251EF"/>
    <w:rsid w:val="00725701"/>
    <w:rsid w:val="00743E1D"/>
    <w:rsid w:val="00751732"/>
    <w:rsid w:val="00754C25"/>
    <w:rsid w:val="00783084"/>
    <w:rsid w:val="00793243"/>
    <w:rsid w:val="007A61F1"/>
    <w:rsid w:val="007D30FF"/>
    <w:rsid w:val="007E63F3"/>
    <w:rsid w:val="007E7B9D"/>
    <w:rsid w:val="007F26C3"/>
    <w:rsid w:val="00805910"/>
    <w:rsid w:val="008259FB"/>
    <w:rsid w:val="00897251"/>
    <w:rsid w:val="008C00B9"/>
    <w:rsid w:val="008C0AE4"/>
    <w:rsid w:val="008C747E"/>
    <w:rsid w:val="008E7224"/>
    <w:rsid w:val="008E7840"/>
    <w:rsid w:val="009073EC"/>
    <w:rsid w:val="00913054"/>
    <w:rsid w:val="00920ABE"/>
    <w:rsid w:val="00941D94"/>
    <w:rsid w:val="009421C3"/>
    <w:rsid w:val="009478FB"/>
    <w:rsid w:val="00951B77"/>
    <w:rsid w:val="00956F3E"/>
    <w:rsid w:val="00964A22"/>
    <w:rsid w:val="0097212E"/>
    <w:rsid w:val="00973D15"/>
    <w:rsid w:val="009A065F"/>
    <w:rsid w:val="009B7479"/>
    <w:rsid w:val="009C106D"/>
    <w:rsid w:val="009C583E"/>
    <w:rsid w:val="009D6FD6"/>
    <w:rsid w:val="009E1554"/>
    <w:rsid w:val="009E70E8"/>
    <w:rsid w:val="009F0488"/>
    <w:rsid w:val="00A039B0"/>
    <w:rsid w:val="00A15487"/>
    <w:rsid w:val="00A25232"/>
    <w:rsid w:val="00A334C5"/>
    <w:rsid w:val="00A40123"/>
    <w:rsid w:val="00A410E8"/>
    <w:rsid w:val="00A56DBE"/>
    <w:rsid w:val="00A85D7D"/>
    <w:rsid w:val="00A9460A"/>
    <w:rsid w:val="00AB16BC"/>
    <w:rsid w:val="00AB2927"/>
    <w:rsid w:val="00AB677E"/>
    <w:rsid w:val="00AC0FC3"/>
    <w:rsid w:val="00AC35F1"/>
    <w:rsid w:val="00AD374E"/>
    <w:rsid w:val="00B019EA"/>
    <w:rsid w:val="00B13775"/>
    <w:rsid w:val="00B24FB4"/>
    <w:rsid w:val="00B44DE8"/>
    <w:rsid w:val="00B52A22"/>
    <w:rsid w:val="00B5592C"/>
    <w:rsid w:val="00B95E93"/>
    <w:rsid w:val="00BB507F"/>
    <w:rsid w:val="00BD7A1E"/>
    <w:rsid w:val="00BE1DC4"/>
    <w:rsid w:val="00BE639F"/>
    <w:rsid w:val="00C0102E"/>
    <w:rsid w:val="00C170A5"/>
    <w:rsid w:val="00C57CD8"/>
    <w:rsid w:val="00C6765B"/>
    <w:rsid w:val="00C71D53"/>
    <w:rsid w:val="00C86732"/>
    <w:rsid w:val="00C87674"/>
    <w:rsid w:val="00CC713C"/>
    <w:rsid w:val="00CF1A20"/>
    <w:rsid w:val="00CF63ED"/>
    <w:rsid w:val="00D062AB"/>
    <w:rsid w:val="00D22427"/>
    <w:rsid w:val="00D258BD"/>
    <w:rsid w:val="00D35BC1"/>
    <w:rsid w:val="00DB6D68"/>
    <w:rsid w:val="00DC2842"/>
    <w:rsid w:val="00DC40AB"/>
    <w:rsid w:val="00DC48A4"/>
    <w:rsid w:val="00DC7435"/>
    <w:rsid w:val="00DD38B1"/>
    <w:rsid w:val="00DE7AF9"/>
    <w:rsid w:val="00DF2358"/>
    <w:rsid w:val="00E153AD"/>
    <w:rsid w:val="00E16339"/>
    <w:rsid w:val="00E163AF"/>
    <w:rsid w:val="00E24B87"/>
    <w:rsid w:val="00E56A72"/>
    <w:rsid w:val="00E75B2F"/>
    <w:rsid w:val="00E76AC7"/>
    <w:rsid w:val="00E83DBD"/>
    <w:rsid w:val="00E83ECC"/>
    <w:rsid w:val="00E94EC6"/>
    <w:rsid w:val="00E97CB4"/>
    <w:rsid w:val="00EA7712"/>
    <w:rsid w:val="00ED07B3"/>
    <w:rsid w:val="00ED6153"/>
    <w:rsid w:val="00EE0092"/>
    <w:rsid w:val="00EF0A00"/>
    <w:rsid w:val="00F42E0A"/>
    <w:rsid w:val="00F53120"/>
    <w:rsid w:val="00F80276"/>
    <w:rsid w:val="00FA28AB"/>
    <w:rsid w:val="00FA685F"/>
    <w:rsid w:val="00FB157C"/>
    <w:rsid w:val="00FB5A60"/>
    <w:rsid w:val="00FC03F0"/>
    <w:rsid w:val="00FD1257"/>
    <w:rsid w:val="00FE158D"/>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A9DF4"/>
  <w15:docId w15:val="{F2AD5B8B-4EE5-4E73-9202-77FDB48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3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character" w:customStyle="1" w:styleId="Mention1">
    <w:name w:val="Mention1"/>
    <w:basedOn w:val="DefaultParagraphFont"/>
    <w:uiPriority w:val="99"/>
    <w:semiHidden/>
    <w:unhideWhenUsed/>
    <w:rsid w:val="00E153AD"/>
    <w:rPr>
      <w:color w:val="2B579A"/>
      <w:shd w:val="clear" w:color="auto" w:fill="E6E6E6"/>
    </w:rPr>
  </w:style>
  <w:style w:type="paragraph" w:styleId="NoSpacing">
    <w:name w:val="No Spacing"/>
    <w:uiPriority w:val="1"/>
    <w:qFormat/>
    <w:rsid w:val="00E153A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730">
      <w:bodyDiv w:val="1"/>
      <w:marLeft w:val="0"/>
      <w:marRight w:val="0"/>
      <w:marTop w:val="0"/>
      <w:marBottom w:val="0"/>
      <w:divBdr>
        <w:top w:val="none" w:sz="0" w:space="0" w:color="auto"/>
        <w:left w:val="none" w:sz="0" w:space="0" w:color="auto"/>
        <w:bottom w:val="none" w:sz="0" w:space="0" w:color="auto"/>
        <w:right w:val="none" w:sz="0" w:space="0" w:color="auto"/>
      </w:divBdr>
    </w:div>
    <w:div w:id="91512259">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7233649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21369726">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Provider-Enrollment-and-Certification/GuidanceforLawsAndRegulations/Downloads/Advance-Appendix-PP-Including-Phase-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ioprogram.org/facility-assessment-t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it.gov/unintended-consequen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hs.gov/hipaa/for-professionals/security/laws-regulations/index.html" TargetMode="External"/><Relationship Id="rId4" Type="http://schemas.openxmlformats.org/officeDocument/2006/relationships/settings" Target="settings.xml"/><Relationship Id="rId9" Type="http://schemas.openxmlformats.org/officeDocument/2006/relationships/hyperlink" Target="https://www.cms.gov/Regulations-and-Guidance/Legislation/EHRIncentivePrograms/2016ProgramRequirement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A824-5B5D-4EFB-BFBC-805EDACE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4</cp:revision>
  <dcterms:created xsi:type="dcterms:W3CDTF">2017-08-30T18:33:00Z</dcterms:created>
  <dcterms:modified xsi:type="dcterms:W3CDTF">2017-09-07T18:41:00Z</dcterms:modified>
</cp:coreProperties>
</file>