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AA8" w:rsidRDefault="00157499">
                            <w:pPr>
                              <w:rPr>
                                <w:rFonts w:ascii="Calibri" w:hAnsi="Calibri"/>
                                <w:color w:val="FFFFFF" w:themeColor="background1"/>
                                <w:sz w:val="72"/>
                              </w:rPr>
                            </w:pPr>
                            <w:r>
                              <w:rPr>
                                <w:rFonts w:ascii="Calibri" w:hAnsi="Calibri"/>
                                <w:color w:val="FFFFFF" w:themeColor="background1"/>
                                <w:sz w:val="72"/>
                              </w:rPr>
                              <w:t>Tool-</w:t>
                            </w:r>
                          </w:p>
                          <w:p w:rsidR="00023831" w:rsidRDefault="001860CE">
                            <w:pPr>
                              <w:rPr>
                                <w:rFonts w:ascii="Calibri" w:hAnsi="Calibri"/>
                                <w:color w:val="FFFFFF" w:themeColor="background1"/>
                                <w:sz w:val="72"/>
                              </w:rPr>
                            </w:pPr>
                            <w:r>
                              <w:rPr>
                                <w:rFonts w:ascii="Calibri" w:hAnsi="Calibri"/>
                                <w:color w:val="FFFFFF" w:themeColor="background1"/>
                                <w:sz w:val="72"/>
                              </w:rPr>
                              <w:t>Discharge Summary</w:t>
                            </w:r>
                          </w:p>
                          <w:p w:rsidR="00157499" w:rsidRPr="00301AA8" w:rsidRDefault="00157499">
                            <w:pPr>
                              <w:rPr>
                                <w:rFonts w:ascii="Calibri" w:hAnsi="Calibri"/>
                                <w:color w:val="FFFFFF" w:themeColor="background1"/>
                                <w:sz w:val="72"/>
                                <w14:textFill>
                                  <w14:noFill/>
                                </w14:textFill>
                              </w:rPr>
                            </w:pPr>
                            <w:r>
                              <w:rPr>
                                <w:rFonts w:ascii="Calibri" w:hAnsi="Calibri"/>
                                <w:color w:val="FFFFFF" w:themeColor="background1"/>
                                <w:sz w:val="72"/>
                              </w:rPr>
                              <w:t>Policy and Procedure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301AA8" w:rsidRDefault="00157499">
                      <w:pPr>
                        <w:rPr>
                          <w:rFonts w:ascii="Calibri" w:hAnsi="Calibri"/>
                          <w:color w:val="FFFFFF" w:themeColor="background1"/>
                          <w:sz w:val="72"/>
                        </w:rPr>
                      </w:pPr>
                      <w:r>
                        <w:rPr>
                          <w:rFonts w:ascii="Calibri" w:hAnsi="Calibri"/>
                          <w:color w:val="FFFFFF" w:themeColor="background1"/>
                          <w:sz w:val="72"/>
                        </w:rPr>
                        <w:t>Tool-</w:t>
                      </w:r>
                    </w:p>
                    <w:p w:rsidR="00023831" w:rsidRDefault="001860CE">
                      <w:pPr>
                        <w:rPr>
                          <w:rFonts w:ascii="Calibri" w:hAnsi="Calibri"/>
                          <w:color w:val="FFFFFF" w:themeColor="background1"/>
                          <w:sz w:val="72"/>
                        </w:rPr>
                      </w:pPr>
                      <w:r>
                        <w:rPr>
                          <w:rFonts w:ascii="Calibri" w:hAnsi="Calibri"/>
                          <w:color w:val="FFFFFF" w:themeColor="background1"/>
                          <w:sz w:val="72"/>
                        </w:rPr>
                        <w:t>Discharge Summary</w:t>
                      </w:r>
                    </w:p>
                    <w:p w:rsidR="00157499" w:rsidRPr="00301AA8" w:rsidRDefault="00157499">
                      <w:pPr>
                        <w:rPr>
                          <w:rFonts w:ascii="Calibri" w:hAnsi="Calibri"/>
                          <w:color w:val="FFFFFF" w:themeColor="background1"/>
                          <w:sz w:val="72"/>
                          <w14:textFill>
                            <w14:noFill/>
                          </w14:textFill>
                        </w:rPr>
                      </w:pPr>
                      <w:r>
                        <w:rPr>
                          <w:rFonts w:ascii="Calibri" w:hAnsi="Calibri"/>
                          <w:color w:val="FFFFFF" w:themeColor="background1"/>
                          <w:sz w:val="72"/>
                        </w:rPr>
                        <w:t>Policy and Procedure Checklist</w:t>
                      </w:r>
                    </w:p>
                  </w:txbxContent>
                </v:textbox>
                <w10:wrap anchory="page"/>
              </v:shape>
            </w:pict>
          </mc:Fallback>
        </mc:AlternateContent>
      </w:r>
    </w:p>
    <w:p w:rsidR="00E410E3" w:rsidRDefault="00605605" w:rsidP="00157499">
      <w:pPr>
        <w:jc w:val="center"/>
        <w:textAlignment w:val="baseline"/>
        <w:rPr>
          <w:rFonts w:ascii="Calibri" w:hAnsi="Calibri"/>
          <w:b/>
          <w:sz w:val="32"/>
        </w:rPr>
      </w:pPr>
      <w:r>
        <w:rPr>
          <w:rFonts w:ascii="Calibri" w:hAnsi="Calibri"/>
          <w:b/>
          <w:noProof/>
          <w:sz w:val="32"/>
        </w:rPr>
        <mc:AlternateContent>
          <mc:Choice Requires="wps">
            <w:drawing>
              <wp:anchor distT="0" distB="0" distL="114300" distR="114300" simplePos="0" relativeHeight="251662336" behindDoc="0" locked="0" layoutInCell="1" allowOverlap="1" wp14:anchorId="1A567F58" wp14:editId="0360162F">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A567F58"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183FB9EE" wp14:editId="5FCCA36B">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83FB9EE"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p>
    <w:p w:rsidR="00E410E3" w:rsidRDefault="00E410E3" w:rsidP="00157499">
      <w:pPr>
        <w:jc w:val="center"/>
        <w:textAlignment w:val="baseline"/>
        <w:rPr>
          <w:rFonts w:ascii="Calibri" w:hAnsi="Calibri"/>
          <w:b/>
          <w:sz w:val="32"/>
        </w:rPr>
      </w:pPr>
    </w:p>
    <w:p w:rsidR="001860CE" w:rsidRPr="00EC42C9" w:rsidRDefault="001860CE" w:rsidP="001860CE">
      <w:pPr>
        <w:jc w:val="center"/>
        <w:rPr>
          <w:rFonts w:asciiTheme="minorHAnsi" w:eastAsiaTheme="minorEastAsia" w:hAnsiTheme="minorHAnsi"/>
          <w:b/>
          <w:szCs w:val="24"/>
        </w:rPr>
      </w:pPr>
      <w:r w:rsidRPr="00EC42C9">
        <w:rPr>
          <w:rFonts w:asciiTheme="minorHAnsi" w:eastAsiaTheme="minorEastAsia" w:hAnsiTheme="minorHAnsi"/>
          <w:b/>
          <w:szCs w:val="24"/>
        </w:rPr>
        <w:t>Tool:  Discharge Summary Policy and Procedure</w:t>
      </w:r>
    </w:p>
    <w:p w:rsidR="001860CE" w:rsidRPr="00EC42C9" w:rsidRDefault="001860CE" w:rsidP="001860CE">
      <w:pPr>
        <w:jc w:val="center"/>
        <w:rPr>
          <w:rFonts w:asciiTheme="minorHAnsi" w:eastAsiaTheme="minorEastAsia" w:hAnsiTheme="minorHAnsi"/>
          <w:b/>
          <w:szCs w:val="24"/>
        </w:rPr>
      </w:pPr>
    </w:p>
    <w:p w:rsidR="001860CE" w:rsidRPr="00EC42C9" w:rsidRDefault="001860CE" w:rsidP="00F402F5">
      <w:pPr>
        <w:autoSpaceDE w:val="0"/>
        <w:autoSpaceDN w:val="0"/>
        <w:adjustRightInd w:val="0"/>
        <w:rPr>
          <w:rFonts w:asciiTheme="minorHAnsi" w:hAnsiTheme="minorHAnsi" w:cs="Melior"/>
          <w:szCs w:val="24"/>
        </w:rPr>
      </w:pPr>
      <w:r w:rsidRPr="00F402F5">
        <w:rPr>
          <w:rFonts w:asciiTheme="minorHAnsi" w:hAnsiTheme="minorHAnsi"/>
          <w:b/>
          <w:szCs w:val="24"/>
        </w:rPr>
        <w:t>§</w:t>
      </w:r>
      <w:r w:rsidRPr="00F402F5">
        <w:rPr>
          <w:rFonts w:asciiTheme="minorHAnsi" w:hAnsiTheme="minorHAnsi" w:cs="Melior"/>
          <w:b/>
          <w:szCs w:val="24"/>
        </w:rPr>
        <w:t xml:space="preserve">483.21 (2) </w:t>
      </w:r>
      <w:r w:rsidRPr="00F402F5">
        <w:rPr>
          <w:rFonts w:asciiTheme="minorHAnsi" w:hAnsiTheme="minorHAnsi" w:cs="Melior-Italic"/>
          <w:b/>
          <w:i/>
          <w:iCs/>
          <w:szCs w:val="24"/>
        </w:rPr>
        <w:t>Discharge summary</w:t>
      </w:r>
      <w:r w:rsidRPr="00EC42C9">
        <w:rPr>
          <w:rFonts w:asciiTheme="minorHAnsi" w:hAnsiTheme="minorHAnsi" w:cs="Melior-Italic"/>
          <w:i/>
          <w:iCs/>
          <w:szCs w:val="24"/>
        </w:rPr>
        <w:t xml:space="preserve">. </w:t>
      </w:r>
      <w:r w:rsidRPr="00EC42C9">
        <w:rPr>
          <w:rFonts w:asciiTheme="minorHAnsi" w:hAnsiTheme="minorHAnsi" w:cs="Melior"/>
          <w:szCs w:val="24"/>
        </w:rPr>
        <w:t>When the facility anticipates discharge a resident must have a discharge summary that includes, but is not limited to, the following:</w:t>
      </w:r>
    </w:p>
    <w:p w:rsidR="001860CE" w:rsidRPr="00EC42C9" w:rsidRDefault="001860CE" w:rsidP="00F402F5">
      <w:pPr>
        <w:autoSpaceDE w:val="0"/>
        <w:autoSpaceDN w:val="0"/>
        <w:adjustRightInd w:val="0"/>
        <w:ind w:left="720"/>
        <w:rPr>
          <w:rFonts w:asciiTheme="minorHAnsi" w:hAnsiTheme="minorHAnsi" w:cs="Melior"/>
          <w:szCs w:val="24"/>
        </w:rPr>
      </w:pPr>
      <w:r w:rsidRPr="00EC42C9">
        <w:rPr>
          <w:rFonts w:asciiTheme="minorHAnsi" w:hAnsiTheme="minorHAnsi" w:cs="Melior"/>
          <w:szCs w:val="24"/>
        </w:rPr>
        <w:t>(</w:t>
      </w:r>
      <w:proofErr w:type="spellStart"/>
      <w:r w:rsidRPr="00EC42C9">
        <w:rPr>
          <w:rFonts w:asciiTheme="minorHAnsi" w:hAnsiTheme="minorHAnsi" w:cs="Melior"/>
          <w:szCs w:val="24"/>
        </w:rPr>
        <w:t>i</w:t>
      </w:r>
      <w:proofErr w:type="spellEnd"/>
      <w:r w:rsidRPr="00EC42C9">
        <w:rPr>
          <w:rFonts w:asciiTheme="minorHAnsi" w:hAnsiTheme="minorHAnsi" w:cs="Melior"/>
          <w:szCs w:val="24"/>
        </w:rPr>
        <w:t>) A recapitulation of the resident’s stay that includes, but is not limited to, diagnoses, course</w:t>
      </w:r>
      <w:r w:rsidRPr="00EC42C9">
        <w:rPr>
          <w:rFonts w:asciiTheme="minorHAnsi" w:hAnsiTheme="minorHAnsi" w:cs="Melior"/>
          <w:b/>
          <w:szCs w:val="24"/>
        </w:rPr>
        <w:t xml:space="preserve"> </w:t>
      </w:r>
      <w:r w:rsidRPr="00EC42C9">
        <w:rPr>
          <w:rFonts w:asciiTheme="minorHAnsi" w:hAnsiTheme="minorHAnsi" w:cs="Melior"/>
          <w:szCs w:val="24"/>
        </w:rPr>
        <w:t>of illness/treatment or therapy, and pertinent lab, radiology, and consultation results.</w:t>
      </w:r>
    </w:p>
    <w:p w:rsidR="001860CE" w:rsidRPr="00EC42C9" w:rsidRDefault="001860CE" w:rsidP="00F402F5">
      <w:pPr>
        <w:ind w:left="720"/>
        <w:rPr>
          <w:rFonts w:asciiTheme="minorHAnsi" w:hAnsiTheme="minorHAnsi" w:cs="Melior"/>
          <w:szCs w:val="24"/>
        </w:rPr>
      </w:pPr>
      <w:r w:rsidRPr="00EC42C9">
        <w:rPr>
          <w:rFonts w:asciiTheme="minorHAnsi" w:hAnsiTheme="minorHAnsi" w:cs="Melior"/>
          <w:szCs w:val="24"/>
        </w:rPr>
        <w:t>(ii) A final summary of the resident’s status to include items in paragraph (b)(1) of § 483.20, at the time of the discharge that is available for release to authorized persons and agencies, with the consent of the resident or resident’s representative.</w:t>
      </w:r>
    </w:p>
    <w:p w:rsidR="001860CE" w:rsidRPr="00EC42C9" w:rsidRDefault="001860CE" w:rsidP="00F402F5">
      <w:pPr>
        <w:ind w:left="720"/>
        <w:rPr>
          <w:rFonts w:asciiTheme="minorHAnsi" w:hAnsiTheme="minorHAnsi" w:cs="Melior"/>
          <w:szCs w:val="24"/>
        </w:rPr>
      </w:pPr>
      <w:r w:rsidRPr="00EC42C9">
        <w:rPr>
          <w:rFonts w:asciiTheme="minorHAnsi" w:hAnsiTheme="minorHAnsi" w:cs="Melior"/>
          <w:szCs w:val="24"/>
        </w:rPr>
        <w:t>(iii) Reconciliation of all pre-discharge medications with the resident’s post-discharge medications (both prescribed and over-the-counter).</w:t>
      </w:r>
    </w:p>
    <w:p w:rsidR="001860CE" w:rsidRPr="00EC42C9" w:rsidRDefault="001860CE" w:rsidP="00F402F5">
      <w:pPr>
        <w:ind w:left="720"/>
        <w:rPr>
          <w:rFonts w:asciiTheme="minorHAnsi" w:hAnsiTheme="minorHAnsi" w:cs="Melior"/>
          <w:b/>
          <w:szCs w:val="24"/>
        </w:rPr>
      </w:pPr>
      <w:r w:rsidRPr="00EC42C9">
        <w:rPr>
          <w:rFonts w:asciiTheme="minorHAnsi" w:hAnsiTheme="minorHAnsi" w:cs="Melior"/>
          <w:szCs w:val="24"/>
        </w:rPr>
        <w:t>(iv) A post-discharge plan of care that is developed with the participation of the resident and, with the resident’s consent, the resident representative(s), which will assist the resident to adjust to his or her new living environment. The post-discharge plan of care must indicate where the individual plans to reside, any arrangements that have been made for the resident’s follow up care and any post-discharge medical and non-medical services.</w:t>
      </w:r>
    </w:p>
    <w:p w:rsidR="001860CE" w:rsidRDefault="001860CE" w:rsidP="001860CE">
      <w:pPr>
        <w:rPr>
          <w:rFonts w:asciiTheme="minorHAnsi" w:hAnsiTheme="minorHAnsi" w:cs="Melior"/>
          <w:b/>
          <w:szCs w:val="24"/>
        </w:rPr>
      </w:pPr>
    </w:p>
    <w:p w:rsidR="001860CE" w:rsidRPr="00561856" w:rsidRDefault="001860CE" w:rsidP="001860CE">
      <w:pPr>
        <w:pStyle w:val="Heading3"/>
        <w:rPr>
          <w:rFonts w:asciiTheme="minorHAnsi" w:eastAsiaTheme="minorEastAsia" w:hAnsiTheme="minorHAnsi" w:cstheme="minorBidi"/>
          <w:b w:val="0"/>
          <w:szCs w:val="24"/>
        </w:rPr>
      </w:pPr>
      <w:r w:rsidRPr="00561856">
        <w:rPr>
          <w:rFonts w:asciiTheme="minorHAnsi" w:eastAsiaTheme="minorEastAsia" w:hAnsiTheme="minorHAnsi" w:cstheme="minorBidi"/>
          <w:bCs/>
          <w:szCs w:val="24"/>
        </w:rPr>
        <w:t>Purpose and Intent of 483.</w:t>
      </w:r>
      <w:r>
        <w:rPr>
          <w:rFonts w:asciiTheme="minorHAnsi" w:eastAsiaTheme="minorEastAsia" w:hAnsiTheme="minorHAnsi" w:cstheme="minorBidi"/>
          <w:bCs/>
          <w:szCs w:val="24"/>
        </w:rPr>
        <w:t>21</w:t>
      </w:r>
      <w:r w:rsidR="00F402F5">
        <w:rPr>
          <w:rFonts w:asciiTheme="minorHAnsi" w:eastAsiaTheme="minorEastAsia" w:hAnsiTheme="minorHAnsi" w:cstheme="minorBidi"/>
          <w:bCs/>
          <w:szCs w:val="24"/>
        </w:rPr>
        <w:t>(2)</w:t>
      </w:r>
    </w:p>
    <w:p w:rsidR="001860CE" w:rsidRPr="00561856" w:rsidRDefault="001860CE" w:rsidP="001860CE">
      <w:pPr>
        <w:rPr>
          <w:rFonts w:asciiTheme="minorHAnsi" w:eastAsiaTheme="minorEastAsia" w:hAnsiTheme="minorHAnsi" w:cstheme="minorBidi"/>
          <w:szCs w:val="24"/>
        </w:rPr>
      </w:pPr>
      <w:r w:rsidRPr="00561856">
        <w:rPr>
          <w:rFonts w:asciiTheme="minorHAnsi" w:eastAsiaTheme="minorEastAsia" w:hAnsiTheme="minorHAnsi" w:cstheme="minorBidi"/>
          <w:szCs w:val="24"/>
        </w:rPr>
        <w:t>The purpose of the</w:t>
      </w:r>
      <w:r>
        <w:rPr>
          <w:rFonts w:asciiTheme="minorHAnsi" w:eastAsiaTheme="minorEastAsia" w:hAnsiTheme="minorHAnsi" w:cstheme="minorBidi"/>
          <w:szCs w:val="24"/>
        </w:rPr>
        <w:t xml:space="preserve"> discharge summary </w:t>
      </w:r>
      <w:r w:rsidRPr="00561856">
        <w:rPr>
          <w:rFonts w:asciiTheme="minorHAnsi" w:eastAsiaTheme="minorEastAsia" w:hAnsiTheme="minorHAnsi" w:cstheme="minorBidi"/>
          <w:szCs w:val="24"/>
        </w:rPr>
        <w:t xml:space="preserve">policy and procedure is to develop guidelines and a comprehensive </w:t>
      </w:r>
      <w:r>
        <w:rPr>
          <w:rFonts w:asciiTheme="minorHAnsi" w:eastAsiaTheme="minorEastAsia" w:hAnsiTheme="minorHAnsi" w:cstheme="minorBidi"/>
          <w:szCs w:val="24"/>
        </w:rPr>
        <w:t xml:space="preserve">approach to information provided to the resident, the representative and post-discharge care providers.  These policies apply to residents being discharged as a result of a planned process. </w:t>
      </w:r>
    </w:p>
    <w:p w:rsidR="001860CE" w:rsidRPr="00561856" w:rsidRDefault="001860CE" w:rsidP="001860CE">
      <w:pPr>
        <w:rPr>
          <w:rFonts w:asciiTheme="minorHAnsi" w:hAnsiTheme="minorHAnsi"/>
          <w:szCs w:val="24"/>
        </w:rPr>
      </w:pPr>
    </w:p>
    <w:p w:rsidR="001860CE" w:rsidRPr="00561856" w:rsidRDefault="001860CE" w:rsidP="001860CE">
      <w:pPr>
        <w:rPr>
          <w:rFonts w:asciiTheme="minorHAnsi" w:hAnsiTheme="minorHAnsi"/>
          <w:szCs w:val="24"/>
        </w:rPr>
      </w:pPr>
      <w:r w:rsidRPr="00561856">
        <w:rPr>
          <w:rFonts w:asciiTheme="minorHAnsi" w:eastAsiaTheme="minorEastAsia" w:hAnsiTheme="minorHAnsi" w:cstheme="minorBidi"/>
          <w:szCs w:val="24"/>
        </w:rPr>
        <w:t xml:space="preserve">To assure that the individual facility has followed all the required steps for the development and implementation of a </w:t>
      </w:r>
      <w:r w:rsidR="00F402F5">
        <w:rPr>
          <w:rFonts w:asciiTheme="minorHAnsi" w:eastAsiaTheme="minorEastAsia" w:hAnsiTheme="minorHAnsi" w:cstheme="minorBidi"/>
          <w:szCs w:val="24"/>
        </w:rPr>
        <w:t>discharge summary</w:t>
      </w:r>
      <w:r w:rsidRPr="00561856">
        <w:rPr>
          <w:rFonts w:asciiTheme="minorHAnsi" w:eastAsiaTheme="minorEastAsia" w:hAnsiTheme="minorHAnsi" w:cstheme="minorBidi"/>
          <w:szCs w:val="24"/>
        </w:rPr>
        <w:t xml:space="preserve"> policy in accordance to the new Requirements of Participation (</w:t>
      </w:r>
      <w:proofErr w:type="spellStart"/>
      <w:r w:rsidRPr="00561856">
        <w:rPr>
          <w:rFonts w:asciiTheme="minorHAnsi" w:hAnsiTheme="minorHAnsi"/>
          <w:szCs w:val="24"/>
        </w:rPr>
        <w:t>RoP</w:t>
      </w:r>
      <w:proofErr w:type="spellEnd"/>
      <w:r w:rsidRPr="00561856">
        <w:rPr>
          <w:rFonts w:asciiTheme="minorHAnsi" w:hAnsiTheme="minorHAnsi"/>
          <w:szCs w:val="24"/>
        </w:rPr>
        <w:t>), the following checklist captures specific action items for successful completion.  The far left column represents the actual Requirements of Participation (</w:t>
      </w:r>
      <w:proofErr w:type="spellStart"/>
      <w:r w:rsidRPr="00561856">
        <w:rPr>
          <w:rFonts w:asciiTheme="minorHAnsi" w:hAnsiTheme="minorHAnsi"/>
          <w:szCs w:val="24"/>
        </w:rPr>
        <w:t>RoP</w:t>
      </w:r>
      <w:proofErr w:type="spellEnd"/>
      <w:r w:rsidRPr="00561856">
        <w:rPr>
          <w:rFonts w:asciiTheme="minorHAnsi" w:hAnsiTheme="minorHAnsi"/>
          <w:szCs w:val="24"/>
        </w:rPr>
        <w:t xml:space="preserve">) language and the right column indicates specific leadership strategies for successful completion and implementation of the revised </w:t>
      </w:r>
      <w:proofErr w:type="spellStart"/>
      <w:r w:rsidRPr="00561856">
        <w:rPr>
          <w:rFonts w:asciiTheme="minorHAnsi" w:hAnsiTheme="minorHAnsi"/>
          <w:szCs w:val="24"/>
        </w:rPr>
        <w:t>RoP</w:t>
      </w:r>
      <w:proofErr w:type="spellEnd"/>
      <w:r w:rsidRPr="00561856">
        <w:rPr>
          <w:rFonts w:asciiTheme="minorHAnsi" w:hAnsiTheme="minorHAnsi"/>
          <w:szCs w:val="24"/>
        </w:rPr>
        <w:t xml:space="preserve">. When preparing updated policies and procedures, it is recommended to include actual </w:t>
      </w:r>
      <w:proofErr w:type="spellStart"/>
      <w:r w:rsidRPr="00561856">
        <w:rPr>
          <w:rFonts w:asciiTheme="minorHAnsi" w:hAnsiTheme="minorHAnsi"/>
          <w:szCs w:val="24"/>
        </w:rPr>
        <w:t>RoP</w:t>
      </w:r>
      <w:proofErr w:type="spellEnd"/>
      <w:r w:rsidRPr="00561856">
        <w:rPr>
          <w:rFonts w:asciiTheme="minorHAnsi" w:hAnsiTheme="minorHAnsi"/>
          <w:szCs w:val="24"/>
        </w:rPr>
        <w:t xml:space="preserve"> language as applicable.   Please note that CMS has not issued its interpretative guidance for the new Requirements of Participation (</w:t>
      </w:r>
      <w:proofErr w:type="spellStart"/>
      <w:r w:rsidRPr="00561856">
        <w:rPr>
          <w:rFonts w:asciiTheme="minorHAnsi" w:hAnsiTheme="minorHAnsi"/>
          <w:szCs w:val="24"/>
        </w:rPr>
        <w:t>RoP</w:t>
      </w:r>
      <w:proofErr w:type="spellEnd"/>
      <w:r w:rsidRPr="00561856">
        <w:rPr>
          <w:rFonts w:asciiTheme="minorHAnsi" w:hAnsiTheme="minorHAnsi"/>
          <w:szCs w:val="24"/>
        </w:rPr>
        <w:t xml:space="preserve">), therefore additional updates may be necessary once the guidance is released.   </w:t>
      </w:r>
    </w:p>
    <w:p w:rsidR="00157499" w:rsidRPr="00023831" w:rsidRDefault="00157499" w:rsidP="00157499">
      <w:pPr>
        <w:textAlignment w:val="baseline"/>
        <w:rPr>
          <w:rFonts w:asciiTheme="minorHAnsi" w:hAnsiTheme="minorHAnsi" w:cs="Segoe UI"/>
          <w:sz w:val="12"/>
          <w:szCs w:val="12"/>
        </w:rPr>
      </w:pPr>
    </w:p>
    <w:p w:rsidR="00E410E3" w:rsidRDefault="00E410E3" w:rsidP="00157499">
      <w:pPr>
        <w:jc w:val="center"/>
        <w:textAlignment w:val="baseline"/>
        <w:rPr>
          <w:rFonts w:asciiTheme="minorHAnsi" w:hAnsiTheme="minorHAnsi" w:cs="Segoe UI"/>
          <w:b/>
          <w:bCs/>
          <w:szCs w:val="24"/>
        </w:rPr>
      </w:pPr>
    </w:p>
    <w:p w:rsidR="00F402F5" w:rsidRDefault="00F402F5" w:rsidP="00157499">
      <w:pPr>
        <w:jc w:val="center"/>
        <w:textAlignment w:val="baseline"/>
        <w:rPr>
          <w:rFonts w:asciiTheme="minorHAnsi" w:hAnsiTheme="minorHAnsi" w:cs="Segoe UI"/>
          <w:b/>
          <w:bCs/>
          <w:szCs w:val="24"/>
        </w:rPr>
      </w:pPr>
    </w:p>
    <w:p w:rsidR="00F402F5" w:rsidRDefault="00F402F5" w:rsidP="00157499">
      <w:pPr>
        <w:jc w:val="center"/>
        <w:textAlignment w:val="baseline"/>
        <w:rPr>
          <w:rFonts w:asciiTheme="minorHAnsi" w:hAnsiTheme="minorHAnsi" w:cs="Segoe UI"/>
          <w:b/>
          <w:bCs/>
          <w:szCs w:val="24"/>
        </w:rPr>
      </w:pPr>
    </w:p>
    <w:p w:rsidR="00F402F5" w:rsidRDefault="00F402F5" w:rsidP="00157499">
      <w:pPr>
        <w:jc w:val="center"/>
        <w:textAlignment w:val="baseline"/>
        <w:rPr>
          <w:rFonts w:asciiTheme="minorHAnsi" w:hAnsiTheme="minorHAnsi" w:cs="Segoe UI"/>
          <w:b/>
          <w:bCs/>
          <w:szCs w:val="24"/>
        </w:rPr>
      </w:pPr>
    </w:p>
    <w:p w:rsidR="00F402F5" w:rsidRPr="00023831" w:rsidRDefault="00F402F5" w:rsidP="00157499">
      <w:pPr>
        <w:jc w:val="center"/>
        <w:textAlignment w:val="baseline"/>
        <w:rPr>
          <w:rFonts w:asciiTheme="minorHAnsi" w:hAnsiTheme="minorHAnsi" w:cs="Segoe UI"/>
          <w:b/>
          <w:bCs/>
          <w:szCs w:val="24"/>
        </w:rPr>
      </w:pPr>
    </w:p>
    <w:p w:rsidR="00157499" w:rsidRPr="00023831" w:rsidRDefault="00157499" w:rsidP="00157499">
      <w:pPr>
        <w:jc w:val="center"/>
        <w:textAlignment w:val="baseline"/>
        <w:rPr>
          <w:rFonts w:asciiTheme="minorHAnsi" w:hAnsiTheme="minorHAnsi" w:cs="Segoe UI"/>
          <w:sz w:val="32"/>
          <w:szCs w:val="32"/>
        </w:rPr>
      </w:pPr>
      <w:r w:rsidRPr="00023831">
        <w:rPr>
          <w:rFonts w:asciiTheme="minorHAnsi" w:hAnsiTheme="minorHAnsi" w:cs="Segoe UI"/>
          <w:b/>
          <w:bCs/>
          <w:sz w:val="32"/>
          <w:szCs w:val="32"/>
        </w:rPr>
        <w:lastRenderedPageBreak/>
        <w:t>Suggested Checklist</w:t>
      </w:r>
      <w:r w:rsidR="00E410E3" w:rsidRPr="00023831">
        <w:rPr>
          <w:rFonts w:asciiTheme="minorHAnsi" w:hAnsiTheme="minorHAnsi" w:cs="Segoe UI"/>
          <w:b/>
          <w:bCs/>
          <w:sz w:val="32"/>
          <w:szCs w:val="32"/>
        </w:rPr>
        <w:t>:</w:t>
      </w:r>
      <w:r w:rsidRPr="00023831">
        <w:rPr>
          <w:rFonts w:asciiTheme="minorHAnsi" w:hAnsiTheme="minorHAnsi" w:cs="Segoe UI"/>
          <w:sz w:val="32"/>
          <w:szCs w:val="32"/>
        </w:rPr>
        <w:t> </w:t>
      </w:r>
    </w:p>
    <w:p w:rsidR="00157499" w:rsidRPr="00023831" w:rsidRDefault="00157499" w:rsidP="00157499">
      <w:pPr>
        <w:jc w:val="center"/>
        <w:textAlignment w:val="baseline"/>
        <w:rPr>
          <w:rFonts w:asciiTheme="minorHAnsi" w:hAnsiTheme="minorHAnsi" w:cs="Segoe UI"/>
          <w:sz w:val="28"/>
          <w:szCs w:val="28"/>
        </w:rPr>
      </w:pPr>
      <w:r w:rsidRPr="00023831">
        <w:rPr>
          <w:rFonts w:asciiTheme="minorHAnsi" w:hAnsiTheme="minorHAnsi" w:cs="Segoe UI"/>
          <w:b/>
          <w:bCs/>
          <w:sz w:val="28"/>
          <w:szCs w:val="28"/>
        </w:rPr>
        <w:t> </w:t>
      </w:r>
      <w:r w:rsidR="001860CE" w:rsidRPr="001860CE">
        <w:rPr>
          <w:rFonts w:asciiTheme="minorHAnsi" w:eastAsiaTheme="minorEastAsia" w:hAnsiTheme="minorHAnsi" w:cstheme="minorBidi"/>
          <w:b/>
          <w:bCs/>
          <w:sz w:val="28"/>
          <w:szCs w:val="28"/>
        </w:rPr>
        <w:t>Discharge Summary</w:t>
      </w:r>
      <w:r w:rsidR="001860CE">
        <w:rPr>
          <w:rFonts w:asciiTheme="minorHAnsi" w:eastAsiaTheme="minorEastAsia" w:hAnsiTheme="minorHAnsi" w:cstheme="minorBidi"/>
          <w:bCs/>
          <w:sz w:val="28"/>
          <w:szCs w:val="28"/>
        </w:rPr>
        <w:t xml:space="preserve"> </w:t>
      </w:r>
      <w:r w:rsidR="00023831" w:rsidRPr="00023831">
        <w:rPr>
          <w:rFonts w:asciiTheme="minorHAnsi" w:hAnsiTheme="minorHAnsi"/>
          <w:b/>
          <w:sz w:val="28"/>
          <w:szCs w:val="28"/>
        </w:rPr>
        <w:t>Policy and Procedure</w:t>
      </w:r>
    </w:p>
    <w:p w:rsidR="00157499" w:rsidRPr="00023831" w:rsidRDefault="00157499" w:rsidP="00157499">
      <w:pPr>
        <w:jc w:val="center"/>
        <w:textAlignment w:val="baseline"/>
        <w:rPr>
          <w:rFonts w:asciiTheme="minorHAnsi" w:hAnsiTheme="minorHAnsi" w:cs="Segoe UI"/>
          <w:sz w:val="12"/>
          <w:szCs w:val="12"/>
        </w:rPr>
      </w:pPr>
      <w:r w:rsidRPr="00023831">
        <w:rPr>
          <w:rFonts w:asciiTheme="minorHAnsi" w:hAnsiTheme="minorHAnsi" w:cs="Segoe UI"/>
          <w:szCs w:val="24"/>
        </w:rPr>
        <w:t> </w:t>
      </w:r>
    </w:p>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2"/>
        <w:gridCol w:w="4594"/>
      </w:tblGrid>
      <w:tr w:rsidR="00157499" w:rsidRPr="00023831" w:rsidTr="00E410E3">
        <w:trPr>
          <w:tblHeader/>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rsidR="00157499" w:rsidRPr="00023831" w:rsidRDefault="00157499" w:rsidP="00964A22">
            <w:pPr>
              <w:spacing w:beforeAutospacing="1" w:afterAutospacing="1"/>
              <w:textAlignment w:val="baseline"/>
              <w:rPr>
                <w:rFonts w:asciiTheme="minorHAnsi" w:hAnsiTheme="minorHAnsi"/>
                <w:szCs w:val="24"/>
              </w:rPr>
            </w:pPr>
            <w:r w:rsidRPr="00023831">
              <w:rPr>
                <w:rFonts w:asciiTheme="minorHAnsi" w:hAnsiTheme="minorHAnsi"/>
                <w:b/>
                <w:bCs/>
                <w:szCs w:val="24"/>
              </w:rPr>
              <w:t>Regulation</w:t>
            </w:r>
            <w:r w:rsidRPr="00023831">
              <w:rPr>
                <w:rFonts w:asciiTheme="minorHAnsi" w:hAnsiTheme="minorHAnsi"/>
                <w:szCs w:val="24"/>
              </w:rPr>
              <w:t xml:space="preserve">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rsidR="00157499" w:rsidRPr="00023831" w:rsidRDefault="003510B5" w:rsidP="00157499">
            <w:pPr>
              <w:spacing w:beforeAutospacing="1" w:afterAutospacing="1"/>
              <w:textAlignment w:val="baseline"/>
              <w:rPr>
                <w:rFonts w:asciiTheme="minorHAnsi" w:hAnsiTheme="minorHAnsi"/>
                <w:szCs w:val="24"/>
              </w:rPr>
            </w:pPr>
            <w:r w:rsidRPr="00023831">
              <w:rPr>
                <w:rFonts w:asciiTheme="minorHAnsi" w:hAnsiTheme="minorHAnsi"/>
                <w:b/>
                <w:bCs/>
                <w:szCs w:val="24"/>
              </w:rPr>
              <w:t xml:space="preserve">Recommended </w:t>
            </w:r>
            <w:r w:rsidR="00157499" w:rsidRPr="00023831">
              <w:rPr>
                <w:rFonts w:asciiTheme="minorHAnsi" w:hAnsiTheme="minorHAnsi"/>
                <w:b/>
                <w:bCs/>
                <w:szCs w:val="24"/>
              </w:rPr>
              <w:t>Actions</w:t>
            </w:r>
            <w:r w:rsidR="00157499" w:rsidRPr="00023831">
              <w:rPr>
                <w:rFonts w:asciiTheme="minorHAnsi" w:hAnsiTheme="minorHAnsi"/>
                <w:szCs w:val="24"/>
              </w:rPr>
              <w:t> </w:t>
            </w:r>
          </w:p>
        </w:tc>
      </w:tr>
      <w:tr w:rsidR="008B6D99" w:rsidRPr="00023831" w:rsidTr="008E710F">
        <w:tc>
          <w:tcPr>
            <w:tcW w:w="0" w:type="auto"/>
            <w:tcBorders>
              <w:top w:val="outset" w:sz="6" w:space="0" w:color="auto"/>
              <w:left w:val="single" w:sz="6" w:space="0" w:color="auto"/>
              <w:bottom w:val="single" w:sz="6" w:space="0" w:color="auto"/>
              <w:right w:val="single" w:sz="6" w:space="0" w:color="auto"/>
            </w:tcBorders>
            <w:shd w:val="clear" w:color="auto" w:fill="auto"/>
          </w:tcPr>
          <w:p w:rsidR="001860CE" w:rsidRDefault="008B6D99" w:rsidP="001860CE">
            <w:pPr>
              <w:autoSpaceDE w:val="0"/>
              <w:autoSpaceDN w:val="0"/>
              <w:adjustRightInd w:val="0"/>
              <w:spacing w:before="120"/>
              <w:rPr>
                <w:rFonts w:asciiTheme="minorHAnsi" w:hAnsiTheme="minorHAnsi" w:cs="Times"/>
                <w:b/>
                <w:bCs/>
                <w:color w:val="000000" w:themeColor="text1"/>
                <w:szCs w:val="24"/>
              </w:rPr>
            </w:pPr>
            <w:r w:rsidRPr="00DC0BC7">
              <w:rPr>
                <w:rFonts w:asciiTheme="minorHAnsi" w:hAnsiTheme="minorHAnsi" w:cs="Times"/>
                <w:b/>
                <w:bCs/>
                <w:color w:val="000000" w:themeColor="text1"/>
                <w:szCs w:val="24"/>
              </w:rPr>
              <w:t>§</w:t>
            </w:r>
            <w:r w:rsidR="001860CE">
              <w:rPr>
                <w:rFonts w:asciiTheme="minorHAnsi" w:hAnsiTheme="minorHAnsi" w:cs="Times"/>
                <w:b/>
                <w:bCs/>
                <w:color w:val="000000" w:themeColor="text1"/>
                <w:szCs w:val="24"/>
              </w:rPr>
              <w:t>483.21</w:t>
            </w:r>
            <w:r w:rsidR="0021631A">
              <w:rPr>
                <w:rFonts w:asciiTheme="minorHAnsi" w:hAnsiTheme="minorHAnsi" w:cs="Times"/>
                <w:b/>
                <w:bCs/>
                <w:color w:val="000000" w:themeColor="text1"/>
                <w:szCs w:val="24"/>
              </w:rPr>
              <w:t>(c)</w:t>
            </w:r>
            <w:r w:rsidR="001860CE">
              <w:rPr>
                <w:rFonts w:asciiTheme="minorHAnsi" w:hAnsiTheme="minorHAnsi" w:cs="Times"/>
                <w:b/>
                <w:bCs/>
                <w:color w:val="000000" w:themeColor="text1"/>
                <w:szCs w:val="24"/>
              </w:rPr>
              <w:t>(2) Discharge Summary</w:t>
            </w:r>
          </w:p>
          <w:p w:rsidR="001860CE" w:rsidRPr="00EC42C9" w:rsidRDefault="001860CE" w:rsidP="001860CE">
            <w:pPr>
              <w:autoSpaceDE w:val="0"/>
              <w:autoSpaceDN w:val="0"/>
              <w:adjustRightInd w:val="0"/>
              <w:spacing w:before="120"/>
              <w:rPr>
                <w:rFonts w:asciiTheme="minorHAnsi" w:hAnsiTheme="minorHAnsi" w:cs="Melior"/>
                <w:szCs w:val="24"/>
              </w:rPr>
            </w:pPr>
            <w:r w:rsidRPr="00EC42C9">
              <w:rPr>
                <w:rFonts w:asciiTheme="minorHAnsi" w:hAnsiTheme="minorHAnsi" w:cs="Melior"/>
                <w:szCs w:val="24"/>
              </w:rPr>
              <w:t xml:space="preserve"> When the facility anticipates di</w:t>
            </w:r>
            <w:r>
              <w:rPr>
                <w:rFonts w:asciiTheme="minorHAnsi" w:hAnsiTheme="minorHAnsi" w:cs="Melior"/>
                <w:szCs w:val="24"/>
              </w:rPr>
              <w:t xml:space="preserve">scharge a resident must have a </w:t>
            </w:r>
            <w:r w:rsidRPr="00EC42C9">
              <w:rPr>
                <w:rFonts w:asciiTheme="minorHAnsi" w:hAnsiTheme="minorHAnsi" w:cs="Melior"/>
                <w:szCs w:val="24"/>
              </w:rPr>
              <w:t>discharge summary that includes, but is not limited to, the following:</w:t>
            </w:r>
          </w:p>
          <w:p w:rsidR="008B6D99" w:rsidRPr="008B6D99" w:rsidRDefault="008B6D99" w:rsidP="008B6D99">
            <w:pPr>
              <w:widowControl w:val="0"/>
              <w:autoSpaceDE w:val="0"/>
              <w:autoSpaceDN w:val="0"/>
              <w:adjustRightInd w:val="0"/>
              <w:spacing w:after="240"/>
              <w:rPr>
                <w:rFonts w:asciiTheme="minorHAnsi" w:hAnsiTheme="minorHAnsi" w:cs="Times"/>
                <w:color w:val="000000" w:themeColor="text1"/>
                <w:szCs w:val="24"/>
              </w:rPr>
            </w:pPr>
          </w:p>
        </w:tc>
        <w:tc>
          <w:tcPr>
            <w:tcW w:w="0" w:type="auto"/>
            <w:tcBorders>
              <w:top w:val="outset" w:sz="6" w:space="0" w:color="auto"/>
              <w:left w:val="outset" w:sz="6" w:space="0" w:color="auto"/>
              <w:bottom w:val="single" w:sz="6" w:space="0" w:color="auto"/>
              <w:right w:val="single" w:sz="6" w:space="0" w:color="auto"/>
            </w:tcBorders>
            <w:shd w:val="clear" w:color="auto" w:fill="auto"/>
          </w:tcPr>
          <w:p w:rsidR="001860CE" w:rsidRDefault="001860CE" w:rsidP="001860CE">
            <w:pPr>
              <w:rPr>
                <w:rFonts w:asciiTheme="minorHAnsi" w:hAnsiTheme="minorHAnsi"/>
                <w:szCs w:val="24"/>
              </w:rPr>
            </w:pPr>
            <w:r w:rsidRPr="00561856">
              <w:rPr>
                <w:rFonts w:asciiTheme="minorHAnsi" w:hAnsiTheme="minorHAnsi"/>
                <w:szCs w:val="24"/>
              </w:rPr>
              <w:sym w:font="Symbol" w:char="F0F0"/>
            </w:r>
            <w:r w:rsidRPr="00561856">
              <w:rPr>
                <w:rFonts w:asciiTheme="minorHAnsi" w:hAnsiTheme="minorHAnsi"/>
                <w:szCs w:val="24"/>
              </w:rPr>
              <w:t xml:space="preserve"> </w:t>
            </w:r>
            <w:r>
              <w:rPr>
                <w:rFonts w:asciiTheme="minorHAnsi" w:hAnsiTheme="minorHAnsi"/>
                <w:szCs w:val="24"/>
              </w:rPr>
              <w:t>Review and revise the discharge summary policy and procedure to ensure that the required components are included and given to the post-discharge provider and the resident at discharge</w:t>
            </w:r>
            <w:r w:rsidR="00E41417">
              <w:rPr>
                <w:rFonts w:asciiTheme="minorHAnsi" w:hAnsiTheme="minorHAnsi"/>
                <w:szCs w:val="24"/>
              </w:rPr>
              <w:t>.</w:t>
            </w:r>
          </w:p>
          <w:p w:rsidR="00E41417" w:rsidRDefault="00E41417" w:rsidP="001860CE">
            <w:pPr>
              <w:rPr>
                <w:rFonts w:asciiTheme="minorHAnsi" w:hAnsiTheme="minorHAnsi"/>
                <w:szCs w:val="24"/>
              </w:rPr>
            </w:pPr>
          </w:p>
          <w:p w:rsidR="00EB192F" w:rsidRPr="00E41417" w:rsidRDefault="001860CE" w:rsidP="008B6D99">
            <w:pPr>
              <w:rPr>
                <w:rFonts w:asciiTheme="minorHAnsi" w:hAnsiTheme="minorHAnsi"/>
                <w:szCs w:val="24"/>
              </w:rPr>
            </w:pPr>
            <w:r w:rsidRPr="00561856">
              <w:rPr>
                <w:rFonts w:asciiTheme="minorHAnsi" w:hAnsiTheme="minorHAnsi"/>
                <w:szCs w:val="24"/>
              </w:rPr>
              <w:t xml:space="preserve"> </w:t>
            </w:r>
            <w:r w:rsidRPr="00561856">
              <w:rPr>
                <w:rFonts w:asciiTheme="minorHAnsi" w:hAnsiTheme="minorHAnsi"/>
                <w:szCs w:val="24"/>
              </w:rPr>
              <w:sym w:font="Symbol" w:char="F0F0"/>
            </w:r>
            <w:r>
              <w:rPr>
                <w:rFonts w:asciiTheme="minorHAnsi" w:hAnsiTheme="minorHAnsi"/>
                <w:szCs w:val="24"/>
              </w:rPr>
              <w:t xml:space="preserve"> Review options for the discharge summary, or some portion of the information, to be written and printed from the clinical software. Include instructions for software use in the procedure.</w:t>
            </w:r>
          </w:p>
        </w:tc>
      </w:tr>
      <w:tr w:rsidR="001860CE" w:rsidRPr="00023831" w:rsidTr="008B6D99">
        <w:tc>
          <w:tcPr>
            <w:tcW w:w="0" w:type="auto"/>
            <w:tcBorders>
              <w:top w:val="outset" w:sz="6" w:space="0" w:color="auto"/>
              <w:left w:val="single" w:sz="6" w:space="0" w:color="auto"/>
              <w:bottom w:val="outset" w:sz="6" w:space="0" w:color="auto"/>
              <w:right w:val="single" w:sz="6" w:space="0" w:color="auto"/>
            </w:tcBorders>
            <w:shd w:val="clear" w:color="auto" w:fill="auto"/>
            <w:hideMark/>
          </w:tcPr>
          <w:p w:rsidR="001860CE" w:rsidRPr="00EC42C9" w:rsidRDefault="001860CE" w:rsidP="001860CE">
            <w:pPr>
              <w:autoSpaceDE w:val="0"/>
              <w:autoSpaceDN w:val="0"/>
              <w:adjustRightInd w:val="0"/>
              <w:spacing w:before="120"/>
              <w:rPr>
                <w:rFonts w:asciiTheme="minorHAnsi" w:hAnsiTheme="minorHAnsi" w:cs="Melior"/>
                <w:szCs w:val="24"/>
              </w:rPr>
            </w:pPr>
            <w:r w:rsidRPr="00EC42C9">
              <w:rPr>
                <w:rFonts w:asciiTheme="minorHAnsi" w:hAnsiTheme="minorHAnsi" w:cs="Melior"/>
                <w:szCs w:val="24"/>
              </w:rPr>
              <w:t>(</w:t>
            </w:r>
            <w:proofErr w:type="spellStart"/>
            <w:r w:rsidRPr="00EC42C9">
              <w:rPr>
                <w:rFonts w:asciiTheme="minorHAnsi" w:hAnsiTheme="minorHAnsi" w:cs="Melior"/>
                <w:szCs w:val="24"/>
              </w:rPr>
              <w:t>i</w:t>
            </w:r>
            <w:proofErr w:type="spellEnd"/>
            <w:r w:rsidRPr="00EC42C9">
              <w:rPr>
                <w:rFonts w:asciiTheme="minorHAnsi" w:hAnsiTheme="minorHAnsi" w:cs="Melior"/>
                <w:szCs w:val="24"/>
              </w:rPr>
              <w:t>) A recapitulation of the resident’s stay that includes, but is not limited to, diagnoses, course</w:t>
            </w:r>
            <w:r w:rsidRPr="00EC42C9">
              <w:rPr>
                <w:rFonts w:asciiTheme="minorHAnsi" w:hAnsiTheme="minorHAnsi" w:cs="Melior"/>
                <w:b/>
                <w:szCs w:val="24"/>
              </w:rPr>
              <w:t xml:space="preserve"> </w:t>
            </w:r>
            <w:r w:rsidRPr="00EC42C9">
              <w:rPr>
                <w:rFonts w:asciiTheme="minorHAnsi" w:hAnsiTheme="minorHAnsi" w:cs="Melior"/>
                <w:szCs w:val="24"/>
              </w:rPr>
              <w:t>of illness/treatment or therapy, and pertinent lab, radiology, and consultation results.</w:t>
            </w:r>
          </w:p>
          <w:p w:rsidR="001860CE" w:rsidRPr="00023831" w:rsidRDefault="001860CE" w:rsidP="001860CE">
            <w:pPr>
              <w:autoSpaceDE w:val="0"/>
              <w:autoSpaceDN w:val="0"/>
              <w:adjustRightInd w:val="0"/>
              <w:rPr>
                <w:rFonts w:asciiTheme="minorHAnsi" w:eastAsia="Calibri" w:hAnsiTheme="minorHAnsi"/>
                <w:szCs w:val="24"/>
              </w:rPr>
            </w:pPr>
          </w:p>
        </w:tc>
        <w:tc>
          <w:tcPr>
            <w:tcW w:w="0" w:type="auto"/>
            <w:tcBorders>
              <w:top w:val="outset" w:sz="6" w:space="0" w:color="auto"/>
              <w:left w:val="outset" w:sz="6" w:space="0" w:color="auto"/>
              <w:bottom w:val="outset" w:sz="6" w:space="0" w:color="auto"/>
              <w:right w:val="single" w:sz="6" w:space="0" w:color="auto"/>
            </w:tcBorders>
            <w:shd w:val="clear" w:color="auto" w:fill="auto"/>
            <w:hideMark/>
          </w:tcPr>
          <w:p w:rsidR="001860CE"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Review and revise the current procedure for documentation of a recapitulation of stay.   The recapitulation must include:</w:t>
            </w:r>
          </w:p>
          <w:p w:rsidR="001860CE" w:rsidRDefault="001860CE" w:rsidP="001860CE">
            <w:pPr>
              <w:numPr>
                <w:ilvl w:val="0"/>
                <w:numId w:val="38"/>
              </w:numPr>
              <w:rPr>
                <w:rFonts w:asciiTheme="minorHAnsi" w:hAnsiTheme="minorHAnsi"/>
                <w:szCs w:val="24"/>
              </w:rPr>
            </w:pPr>
            <w:r>
              <w:rPr>
                <w:rFonts w:asciiTheme="minorHAnsi" w:hAnsiTheme="minorHAnsi"/>
                <w:szCs w:val="24"/>
              </w:rPr>
              <w:t>The resident’s diagnoses at admission and at discharge</w:t>
            </w:r>
          </w:p>
          <w:p w:rsidR="001860CE" w:rsidRDefault="001860CE" w:rsidP="001860CE">
            <w:pPr>
              <w:numPr>
                <w:ilvl w:val="0"/>
                <w:numId w:val="38"/>
              </w:numPr>
              <w:rPr>
                <w:rFonts w:asciiTheme="minorHAnsi" w:hAnsiTheme="minorHAnsi"/>
                <w:szCs w:val="24"/>
              </w:rPr>
            </w:pPr>
            <w:r>
              <w:rPr>
                <w:rFonts w:asciiTheme="minorHAnsi" w:hAnsiTheme="minorHAnsi"/>
                <w:szCs w:val="24"/>
              </w:rPr>
              <w:t>The course of illness or description of the resident’s progress through their stay at the facility</w:t>
            </w:r>
          </w:p>
          <w:p w:rsidR="001860CE" w:rsidRDefault="001860CE" w:rsidP="001860CE">
            <w:pPr>
              <w:numPr>
                <w:ilvl w:val="0"/>
                <w:numId w:val="38"/>
              </w:numPr>
              <w:rPr>
                <w:rFonts w:asciiTheme="minorHAnsi" w:hAnsiTheme="minorHAnsi"/>
                <w:szCs w:val="24"/>
              </w:rPr>
            </w:pPr>
            <w:r>
              <w:rPr>
                <w:rFonts w:asciiTheme="minorHAnsi" w:hAnsiTheme="minorHAnsi"/>
                <w:szCs w:val="24"/>
              </w:rPr>
              <w:t>Pertinent labs, x-rays and consultation reports</w:t>
            </w:r>
          </w:p>
          <w:p w:rsidR="00E41417" w:rsidRDefault="00E41417" w:rsidP="00E41417">
            <w:pPr>
              <w:ind w:left="720"/>
              <w:rPr>
                <w:rFonts w:asciiTheme="minorHAnsi" w:hAnsiTheme="minorHAnsi"/>
                <w:szCs w:val="24"/>
              </w:rPr>
            </w:pPr>
          </w:p>
          <w:p w:rsidR="00E41417"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Define who is responsible for writing the recapitulation of stay and when the document must be completed in reference to the resident’s date of discharge</w:t>
            </w:r>
            <w:r w:rsidR="00E41417">
              <w:rPr>
                <w:rFonts w:asciiTheme="minorHAnsi" w:hAnsiTheme="minorHAnsi"/>
                <w:szCs w:val="24"/>
              </w:rPr>
              <w:t>.</w:t>
            </w:r>
          </w:p>
          <w:p w:rsidR="00E41417" w:rsidRDefault="00E41417" w:rsidP="001860CE">
            <w:pPr>
              <w:rPr>
                <w:rFonts w:asciiTheme="minorHAnsi" w:hAnsiTheme="minorHAnsi"/>
                <w:szCs w:val="24"/>
              </w:rPr>
            </w:pPr>
          </w:p>
          <w:p w:rsidR="001860CE"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Provide education about the recapitulation of stay to appropriate staff. </w:t>
            </w:r>
          </w:p>
          <w:p w:rsidR="00E41417" w:rsidRDefault="00E41417" w:rsidP="001860CE">
            <w:pPr>
              <w:rPr>
                <w:rFonts w:asciiTheme="minorHAnsi" w:hAnsiTheme="minorHAnsi"/>
                <w:szCs w:val="24"/>
              </w:rPr>
            </w:pPr>
          </w:p>
          <w:p w:rsidR="001860CE"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Identify where the recapitulation of stay will be stored in the resident’s medical record. </w:t>
            </w:r>
          </w:p>
          <w:p w:rsidR="00E41417" w:rsidRDefault="00E41417" w:rsidP="001860CE">
            <w:pPr>
              <w:rPr>
                <w:rFonts w:asciiTheme="minorHAnsi" w:hAnsiTheme="minorHAnsi"/>
                <w:szCs w:val="24"/>
              </w:rPr>
            </w:pPr>
          </w:p>
          <w:p w:rsidR="001860CE" w:rsidRPr="00E41417"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Initiate a monitoring system to ensure that the recapitulation of stay is complete and timely.</w:t>
            </w:r>
          </w:p>
        </w:tc>
      </w:tr>
      <w:tr w:rsidR="001860CE" w:rsidRPr="00023831" w:rsidTr="008B6D99">
        <w:tc>
          <w:tcPr>
            <w:tcW w:w="0" w:type="auto"/>
            <w:tcBorders>
              <w:top w:val="outset" w:sz="6" w:space="0" w:color="auto"/>
              <w:left w:val="single" w:sz="6" w:space="0" w:color="auto"/>
              <w:bottom w:val="outset" w:sz="6" w:space="0" w:color="auto"/>
              <w:right w:val="single" w:sz="6" w:space="0" w:color="auto"/>
            </w:tcBorders>
            <w:shd w:val="clear" w:color="auto" w:fill="auto"/>
          </w:tcPr>
          <w:p w:rsidR="001860CE" w:rsidRPr="00EC42C9" w:rsidRDefault="001860CE" w:rsidP="001860CE">
            <w:pPr>
              <w:autoSpaceDE w:val="0"/>
              <w:autoSpaceDN w:val="0"/>
              <w:adjustRightInd w:val="0"/>
              <w:spacing w:before="120"/>
              <w:rPr>
                <w:rFonts w:asciiTheme="minorHAnsi" w:hAnsiTheme="minorHAnsi" w:cs="Melior"/>
                <w:szCs w:val="24"/>
              </w:rPr>
            </w:pPr>
            <w:r w:rsidRPr="00EC42C9">
              <w:rPr>
                <w:rFonts w:asciiTheme="minorHAnsi" w:hAnsiTheme="minorHAnsi" w:cs="Melior"/>
                <w:szCs w:val="24"/>
              </w:rPr>
              <w:lastRenderedPageBreak/>
              <w:t>(ii) A final summary of the resident’s status to include items in paragraph (b)(1) of § 483.20, at the time of the discharge that is available for release to authorized persons and agencies, with the consent of the resident or resident’s representative.</w:t>
            </w:r>
          </w:p>
        </w:tc>
        <w:tc>
          <w:tcPr>
            <w:tcW w:w="0" w:type="auto"/>
            <w:tcBorders>
              <w:top w:val="outset" w:sz="6" w:space="0" w:color="auto"/>
              <w:left w:val="outset" w:sz="6" w:space="0" w:color="auto"/>
              <w:bottom w:val="outset" w:sz="6" w:space="0" w:color="auto"/>
              <w:right w:val="single" w:sz="6" w:space="0" w:color="auto"/>
            </w:tcBorders>
            <w:shd w:val="clear" w:color="auto" w:fill="auto"/>
          </w:tcPr>
          <w:p w:rsidR="001860CE"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Review and revise the current procedure for completion of a final discharge summary.</w:t>
            </w:r>
          </w:p>
          <w:p w:rsidR="00E41417" w:rsidRDefault="00E41417" w:rsidP="001860CE">
            <w:pPr>
              <w:rPr>
                <w:rFonts w:asciiTheme="minorHAnsi" w:hAnsiTheme="minorHAnsi"/>
                <w:szCs w:val="24"/>
              </w:rPr>
            </w:pPr>
          </w:p>
          <w:p w:rsidR="001860CE"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Review and revise the facility policy and procedure for obtaining the consent of the resident to release the final discharge summary to post-discharge providers and the method for recording to whom and when the document was released.</w:t>
            </w:r>
          </w:p>
          <w:p w:rsidR="00E41417" w:rsidRDefault="00E41417" w:rsidP="001860CE">
            <w:pPr>
              <w:rPr>
                <w:rFonts w:asciiTheme="minorHAnsi" w:hAnsiTheme="minorHAnsi"/>
                <w:szCs w:val="24"/>
              </w:rPr>
            </w:pPr>
          </w:p>
          <w:p w:rsidR="001860CE"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Refer to Post Discharge Plan of Care for additional documentation requirements.</w:t>
            </w:r>
          </w:p>
          <w:p w:rsidR="001860CE" w:rsidRPr="00561856" w:rsidRDefault="001860CE" w:rsidP="001860CE">
            <w:pPr>
              <w:rPr>
                <w:rFonts w:asciiTheme="minorHAnsi" w:hAnsiTheme="minorHAnsi"/>
                <w:szCs w:val="24"/>
              </w:rPr>
            </w:pPr>
          </w:p>
        </w:tc>
      </w:tr>
      <w:tr w:rsidR="001860CE" w:rsidRPr="00023831" w:rsidTr="008B6D99">
        <w:tc>
          <w:tcPr>
            <w:tcW w:w="0" w:type="auto"/>
            <w:tcBorders>
              <w:top w:val="outset" w:sz="6" w:space="0" w:color="auto"/>
              <w:left w:val="single" w:sz="6" w:space="0" w:color="auto"/>
              <w:bottom w:val="outset" w:sz="6" w:space="0" w:color="auto"/>
              <w:right w:val="single" w:sz="6" w:space="0" w:color="auto"/>
            </w:tcBorders>
            <w:shd w:val="clear" w:color="auto" w:fill="auto"/>
          </w:tcPr>
          <w:p w:rsidR="001860CE" w:rsidRPr="00EC42C9" w:rsidRDefault="001860CE" w:rsidP="001860CE">
            <w:pPr>
              <w:spacing w:before="120"/>
              <w:rPr>
                <w:rFonts w:asciiTheme="minorHAnsi" w:hAnsiTheme="minorHAnsi" w:cs="Melior"/>
                <w:szCs w:val="24"/>
              </w:rPr>
            </w:pPr>
            <w:r w:rsidRPr="00EC42C9">
              <w:rPr>
                <w:rFonts w:asciiTheme="minorHAnsi" w:hAnsiTheme="minorHAnsi" w:cs="Melior"/>
                <w:szCs w:val="24"/>
              </w:rPr>
              <w:t>(iii) Reconciliation of all pre-discharge medications with the resident’s post-discharge medications (both prescribed and over-the-counter).</w:t>
            </w:r>
          </w:p>
          <w:p w:rsidR="001860CE" w:rsidRPr="00EC42C9" w:rsidRDefault="001860CE" w:rsidP="001860CE">
            <w:pPr>
              <w:autoSpaceDE w:val="0"/>
              <w:autoSpaceDN w:val="0"/>
              <w:adjustRightInd w:val="0"/>
              <w:spacing w:before="120"/>
              <w:rPr>
                <w:rFonts w:asciiTheme="minorHAnsi" w:hAnsiTheme="minorHAnsi" w:cs="Melior"/>
                <w:szCs w:val="24"/>
              </w:rPr>
            </w:pPr>
          </w:p>
        </w:tc>
        <w:tc>
          <w:tcPr>
            <w:tcW w:w="0" w:type="auto"/>
            <w:tcBorders>
              <w:top w:val="outset" w:sz="6" w:space="0" w:color="auto"/>
              <w:left w:val="outset" w:sz="6" w:space="0" w:color="auto"/>
              <w:bottom w:val="outset" w:sz="6" w:space="0" w:color="auto"/>
              <w:right w:val="single" w:sz="6" w:space="0" w:color="auto"/>
            </w:tcBorders>
            <w:shd w:val="clear" w:color="auto" w:fill="auto"/>
          </w:tcPr>
          <w:p w:rsidR="001860CE"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Review and revise the current procedure for pre and post discharge medication reconciliation.</w:t>
            </w:r>
          </w:p>
          <w:p w:rsidR="00E41417" w:rsidRDefault="00E41417" w:rsidP="001860CE">
            <w:pPr>
              <w:rPr>
                <w:rFonts w:asciiTheme="minorHAnsi" w:hAnsiTheme="minorHAnsi"/>
                <w:szCs w:val="24"/>
              </w:rPr>
            </w:pPr>
          </w:p>
          <w:p w:rsidR="001860CE"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Define steps to take if the reconciliation finds inconsistencies</w:t>
            </w:r>
            <w:r w:rsidR="00E41417">
              <w:rPr>
                <w:rFonts w:asciiTheme="minorHAnsi" w:hAnsiTheme="minorHAnsi"/>
                <w:szCs w:val="24"/>
              </w:rPr>
              <w:t>.</w:t>
            </w:r>
          </w:p>
          <w:p w:rsidR="00E41417" w:rsidRDefault="00E41417" w:rsidP="001860CE">
            <w:pPr>
              <w:rPr>
                <w:rFonts w:asciiTheme="minorHAnsi" w:hAnsiTheme="minorHAnsi"/>
                <w:szCs w:val="24"/>
              </w:rPr>
            </w:pPr>
          </w:p>
          <w:p w:rsidR="001860CE"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Identify how the reconciliation will be documented in the resident’s medical record.</w:t>
            </w:r>
          </w:p>
          <w:p w:rsidR="00E41417" w:rsidRDefault="00E41417" w:rsidP="001860CE">
            <w:pPr>
              <w:rPr>
                <w:rFonts w:asciiTheme="minorHAnsi" w:hAnsiTheme="minorHAnsi"/>
                <w:szCs w:val="24"/>
              </w:rPr>
            </w:pPr>
          </w:p>
          <w:p w:rsidR="001860CE"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Educate the nurses about the procedure for pre and post discharge medication reconciliation and documentation of the process.</w:t>
            </w:r>
          </w:p>
          <w:p w:rsidR="00E41417" w:rsidRDefault="00E41417" w:rsidP="001860CE">
            <w:pPr>
              <w:rPr>
                <w:rFonts w:asciiTheme="minorHAnsi" w:hAnsiTheme="minorHAnsi"/>
                <w:szCs w:val="24"/>
              </w:rPr>
            </w:pPr>
          </w:p>
          <w:p w:rsidR="001860CE" w:rsidRPr="00561856"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Implement a monitoring system to ensure that the reconciliation of medications is completed and is timely.</w:t>
            </w:r>
          </w:p>
        </w:tc>
      </w:tr>
      <w:tr w:rsidR="001860CE" w:rsidRPr="00023831" w:rsidTr="008B6D99">
        <w:tc>
          <w:tcPr>
            <w:tcW w:w="0" w:type="auto"/>
            <w:tcBorders>
              <w:top w:val="outset" w:sz="6" w:space="0" w:color="auto"/>
              <w:left w:val="single" w:sz="6" w:space="0" w:color="auto"/>
              <w:bottom w:val="outset" w:sz="6" w:space="0" w:color="auto"/>
              <w:right w:val="single" w:sz="6" w:space="0" w:color="auto"/>
            </w:tcBorders>
            <w:shd w:val="clear" w:color="auto" w:fill="auto"/>
          </w:tcPr>
          <w:p w:rsidR="001860CE" w:rsidRPr="00EC42C9" w:rsidRDefault="001860CE" w:rsidP="001860CE">
            <w:pPr>
              <w:autoSpaceDE w:val="0"/>
              <w:autoSpaceDN w:val="0"/>
              <w:adjustRightInd w:val="0"/>
              <w:spacing w:before="120"/>
              <w:rPr>
                <w:rFonts w:asciiTheme="minorHAnsi" w:hAnsiTheme="minorHAnsi" w:cs="Melior"/>
                <w:szCs w:val="24"/>
              </w:rPr>
            </w:pPr>
            <w:r w:rsidRPr="00EC42C9">
              <w:rPr>
                <w:rFonts w:asciiTheme="minorHAnsi" w:hAnsiTheme="minorHAnsi" w:cs="Melior"/>
                <w:szCs w:val="24"/>
              </w:rPr>
              <w:t xml:space="preserve">(iv) A post-discharge plan of care that is developed with the participation of the resident and, with the resident’s consent, the resident representative(s), which will assist the resident to adjust to his or her new living environment. The post-discharge plan of care must indicate where the individual plans to reside, any arrangements that have been made for the </w:t>
            </w:r>
            <w:r w:rsidRPr="00EC42C9">
              <w:rPr>
                <w:rFonts w:asciiTheme="minorHAnsi" w:hAnsiTheme="minorHAnsi" w:cs="Melior"/>
                <w:szCs w:val="24"/>
              </w:rPr>
              <w:lastRenderedPageBreak/>
              <w:t>resident’s follow up care and any post-discharge medical and non-medical services.</w:t>
            </w:r>
          </w:p>
        </w:tc>
        <w:tc>
          <w:tcPr>
            <w:tcW w:w="0" w:type="auto"/>
            <w:tcBorders>
              <w:top w:val="outset" w:sz="6" w:space="0" w:color="auto"/>
              <w:left w:val="outset" w:sz="6" w:space="0" w:color="auto"/>
              <w:bottom w:val="outset" w:sz="6" w:space="0" w:color="auto"/>
              <w:right w:val="single" w:sz="6" w:space="0" w:color="auto"/>
            </w:tcBorders>
            <w:shd w:val="clear" w:color="auto" w:fill="auto"/>
          </w:tcPr>
          <w:p w:rsidR="001860CE" w:rsidRDefault="001860CE" w:rsidP="001860CE">
            <w:pPr>
              <w:rPr>
                <w:rFonts w:asciiTheme="minorHAnsi" w:hAnsiTheme="minorHAnsi"/>
                <w:szCs w:val="24"/>
              </w:rPr>
            </w:pPr>
            <w:r w:rsidRPr="00561856">
              <w:rPr>
                <w:rFonts w:asciiTheme="minorHAnsi" w:hAnsiTheme="minorHAnsi"/>
                <w:szCs w:val="24"/>
              </w:rPr>
              <w:lastRenderedPageBreak/>
              <w:sym w:font="Symbol" w:char="F0F0"/>
            </w:r>
            <w:r>
              <w:rPr>
                <w:rFonts w:asciiTheme="minorHAnsi" w:hAnsiTheme="minorHAnsi"/>
                <w:szCs w:val="24"/>
              </w:rPr>
              <w:t xml:space="preserve"> Review and revise the current procedure for development of a resident’s post-discharge plan of care. </w:t>
            </w:r>
          </w:p>
          <w:p w:rsidR="00E41417" w:rsidRDefault="00E41417" w:rsidP="001860CE">
            <w:pPr>
              <w:rPr>
                <w:rFonts w:asciiTheme="minorHAnsi" w:hAnsiTheme="minorHAnsi"/>
                <w:szCs w:val="24"/>
              </w:rPr>
            </w:pPr>
          </w:p>
          <w:p w:rsidR="001860CE"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Ensure that the post-discharge plan of care includes </w:t>
            </w:r>
          </w:p>
          <w:p w:rsidR="001860CE" w:rsidRDefault="001860CE" w:rsidP="001860CE">
            <w:pPr>
              <w:numPr>
                <w:ilvl w:val="0"/>
                <w:numId w:val="39"/>
              </w:numPr>
              <w:rPr>
                <w:rFonts w:asciiTheme="minorHAnsi" w:hAnsiTheme="minorHAnsi"/>
                <w:szCs w:val="24"/>
              </w:rPr>
            </w:pPr>
            <w:r>
              <w:rPr>
                <w:rFonts w:asciiTheme="minorHAnsi" w:hAnsiTheme="minorHAnsi"/>
                <w:szCs w:val="24"/>
              </w:rPr>
              <w:t>the location where the resident will live</w:t>
            </w:r>
          </w:p>
          <w:p w:rsidR="001860CE" w:rsidRDefault="001860CE" w:rsidP="001860CE">
            <w:pPr>
              <w:numPr>
                <w:ilvl w:val="0"/>
                <w:numId w:val="39"/>
              </w:numPr>
              <w:rPr>
                <w:rFonts w:asciiTheme="minorHAnsi" w:hAnsiTheme="minorHAnsi"/>
                <w:szCs w:val="24"/>
              </w:rPr>
            </w:pPr>
            <w:r>
              <w:rPr>
                <w:rFonts w:asciiTheme="minorHAnsi" w:hAnsiTheme="minorHAnsi"/>
                <w:szCs w:val="24"/>
              </w:rPr>
              <w:lastRenderedPageBreak/>
              <w:t>arrangements made for follow-up care</w:t>
            </w:r>
          </w:p>
          <w:p w:rsidR="001860CE" w:rsidRDefault="001860CE" w:rsidP="001860CE">
            <w:pPr>
              <w:numPr>
                <w:ilvl w:val="0"/>
                <w:numId w:val="39"/>
              </w:numPr>
              <w:rPr>
                <w:rFonts w:asciiTheme="minorHAnsi" w:hAnsiTheme="minorHAnsi"/>
                <w:szCs w:val="24"/>
              </w:rPr>
            </w:pPr>
            <w:r>
              <w:rPr>
                <w:rFonts w:asciiTheme="minorHAnsi" w:hAnsiTheme="minorHAnsi"/>
                <w:szCs w:val="24"/>
              </w:rPr>
              <w:t>arrangements made for medical services</w:t>
            </w:r>
          </w:p>
          <w:p w:rsidR="001860CE" w:rsidRDefault="001860CE" w:rsidP="003644EB">
            <w:pPr>
              <w:pStyle w:val="ListParagraph"/>
              <w:numPr>
                <w:ilvl w:val="0"/>
                <w:numId w:val="39"/>
              </w:numPr>
              <w:rPr>
                <w:rFonts w:asciiTheme="minorHAnsi" w:hAnsiTheme="minorHAnsi"/>
                <w:szCs w:val="24"/>
              </w:rPr>
            </w:pPr>
            <w:r w:rsidRPr="003644EB">
              <w:rPr>
                <w:rFonts w:asciiTheme="minorHAnsi" w:hAnsiTheme="minorHAnsi"/>
                <w:szCs w:val="24"/>
              </w:rPr>
              <w:t>arrangements made for non-medical services</w:t>
            </w:r>
          </w:p>
          <w:p w:rsidR="00E41417" w:rsidRPr="003644EB" w:rsidRDefault="00E41417" w:rsidP="003644EB">
            <w:pPr>
              <w:pStyle w:val="ListParagraph"/>
              <w:numPr>
                <w:ilvl w:val="0"/>
                <w:numId w:val="39"/>
              </w:numPr>
              <w:rPr>
                <w:rFonts w:asciiTheme="minorHAnsi" w:hAnsiTheme="minorHAnsi"/>
                <w:szCs w:val="24"/>
              </w:rPr>
            </w:pPr>
          </w:p>
          <w:p w:rsidR="001860CE"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Review the process for including the resident and representative in development of the discharge plan of care. </w:t>
            </w:r>
          </w:p>
          <w:p w:rsidR="00E41417" w:rsidRDefault="00E41417" w:rsidP="001860CE">
            <w:pPr>
              <w:rPr>
                <w:rFonts w:asciiTheme="minorHAnsi" w:hAnsiTheme="minorHAnsi"/>
                <w:szCs w:val="24"/>
              </w:rPr>
            </w:pPr>
          </w:p>
          <w:p w:rsidR="001860CE"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Review and revise the document(s) provided to the resident and the representative at the time of discharge.</w:t>
            </w:r>
          </w:p>
          <w:p w:rsidR="00E41417" w:rsidRDefault="00E41417" w:rsidP="001860CE">
            <w:pPr>
              <w:rPr>
                <w:rFonts w:asciiTheme="minorHAnsi" w:hAnsiTheme="minorHAnsi"/>
                <w:szCs w:val="24"/>
              </w:rPr>
            </w:pPr>
          </w:p>
          <w:p w:rsidR="001860CE"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Provide education about the discharge plan of care to all staff involved in the discharge process. Consider education for the social worker, nurse leaders, staff nurses, unit clerk and medical records staff.</w:t>
            </w:r>
          </w:p>
          <w:p w:rsidR="00E41417" w:rsidRDefault="00E41417" w:rsidP="001860CE">
            <w:pPr>
              <w:rPr>
                <w:rFonts w:asciiTheme="minorHAnsi" w:hAnsiTheme="minorHAnsi"/>
                <w:szCs w:val="24"/>
              </w:rPr>
            </w:pPr>
          </w:p>
          <w:p w:rsidR="001860CE"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Identify standards for the completion timeframe of the post-discharge plan of care in relation to the resident’s day of discharge. </w:t>
            </w:r>
          </w:p>
          <w:p w:rsidR="00E41417" w:rsidRDefault="00E41417" w:rsidP="001860CE">
            <w:pPr>
              <w:rPr>
                <w:rFonts w:asciiTheme="minorHAnsi" w:hAnsiTheme="minorHAnsi"/>
                <w:szCs w:val="24"/>
              </w:rPr>
            </w:pPr>
          </w:p>
          <w:p w:rsidR="001860CE" w:rsidRPr="00561856" w:rsidRDefault="001860CE" w:rsidP="001860CE">
            <w:pPr>
              <w:rPr>
                <w:rFonts w:asciiTheme="minorHAnsi" w:hAnsiTheme="minorHAnsi"/>
                <w:szCs w:val="24"/>
              </w:rPr>
            </w:pPr>
            <w:r w:rsidRPr="00561856">
              <w:rPr>
                <w:rFonts w:asciiTheme="minorHAnsi" w:hAnsiTheme="minorHAnsi"/>
                <w:szCs w:val="24"/>
              </w:rPr>
              <w:sym w:font="Symbol" w:char="F0F0"/>
            </w:r>
            <w:r>
              <w:rPr>
                <w:rFonts w:asciiTheme="minorHAnsi" w:hAnsiTheme="minorHAnsi"/>
                <w:szCs w:val="24"/>
              </w:rPr>
              <w:t xml:space="preserve"> Develop and implement a monitoring system to ensure that the post-discharge plan of care is complete and timely and provided to the post-discharge care provider and resident/representative</w:t>
            </w:r>
            <w:r w:rsidR="00E41417">
              <w:rPr>
                <w:rFonts w:asciiTheme="minorHAnsi" w:hAnsiTheme="minorHAnsi"/>
                <w:szCs w:val="24"/>
              </w:rPr>
              <w:t>.</w:t>
            </w:r>
          </w:p>
        </w:tc>
      </w:tr>
    </w:tbl>
    <w:p w:rsidR="00157499" w:rsidRDefault="00157499" w:rsidP="00A20014">
      <w:pPr>
        <w:textAlignment w:val="baseline"/>
        <w:rPr>
          <w:rFonts w:ascii="Calibri" w:eastAsia="Calibri" w:hAnsi="Calibri"/>
          <w:sz w:val="22"/>
          <w:szCs w:val="24"/>
        </w:rPr>
      </w:pPr>
      <w:r w:rsidRPr="00157499">
        <w:rPr>
          <w:rFonts w:ascii="Calibri" w:hAnsi="Calibri" w:cs="Segoe UI"/>
          <w:sz w:val="22"/>
          <w:szCs w:val="22"/>
        </w:rPr>
        <w:lastRenderedPageBreak/>
        <w:t> </w:t>
      </w:r>
    </w:p>
    <w:p w:rsidR="00E41417" w:rsidRDefault="00E41417" w:rsidP="00070510">
      <w:pPr>
        <w:textAlignment w:val="baseline"/>
        <w:rPr>
          <w:rFonts w:ascii="Calibri" w:eastAsia="Calibri" w:hAnsi="Calibri"/>
          <w:szCs w:val="24"/>
        </w:rPr>
      </w:pPr>
    </w:p>
    <w:p w:rsidR="00E41417" w:rsidRDefault="00E41417" w:rsidP="00070510">
      <w:pPr>
        <w:textAlignment w:val="baseline"/>
        <w:rPr>
          <w:rFonts w:ascii="Calibri" w:eastAsia="Calibri" w:hAnsi="Calibri"/>
          <w:szCs w:val="24"/>
        </w:rPr>
      </w:pPr>
    </w:p>
    <w:p w:rsidR="00E41417" w:rsidRDefault="00E41417" w:rsidP="00070510">
      <w:pPr>
        <w:textAlignment w:val="baseline"/>
        <w:rPr>
          <w:rFonts w:ascii="Calibri" w:eastAsia="Calibri" w:hAnsi="Calibri"/>
          <w:szCs w:val="24"/>
        </w:rPr>
      </w:pPr>
    </w:p>
    <w:p w:rsidR="00E41417" w:rsidRDefault="00E41417" w:rsidP="00070510">
      <w:pPr>
        <w:textAlignment w:val="baseline"/>
        <w:rPr>
          <w:rFonts w:ascii="Calibri" w:eastAsia="Calibri" w:hAnsi="Calibri"/>
          <w:szCs w:val="24"/>
        </w:rPr>
      </w:pPr>
    </w:p>
    <w:p w:rsidR="00E41417" w:rsidRDefault="00E41417" w:rsidP="00070510">
      <w:pPr>
        <w:textAlignment w:val="baseline"/>
        <w:rPr>
          <w:rFonts w:ascii="Calibri" w:eastAsia="Calibri" w:hAnsi="Calibri"/>
          <w:szCs w:val="24"/>
        </w:rPr>
      </w:pPr>
    </w:p>
    <w:p w:rsidR="00E41417" w:rsidRDefault="00E41417" w:rsidP="00070510">
      <w:pPr>
        <w:textAlignment w:val="baseline"/>
        <w:rPr>
          <w:rFonts w:ascii="Calibri" w:eastAsia="Calibri" w:hAnsi="Calibri"/>
          <w:szCs w:val="24"/>
        </w:rPr>
      </w:pPr>
    </w:p>
    <w:p w:rsidR="00E41417" w:rsidRDefault="00E41417" w:rsidP="00070510">
      <w:pPr>
        <w:textAlignment w:val="baseline"/>
        <w:rPr>
          <w:rFonts w:ascii="Calibri" w:eastAsia="Calibri" w:hAnsi="Calibri"/>
          <w:szCs w:val="24"/>
        </w:rPr>
      </w:pPr>
    </w:p>
    <w:p w:rsidR="00E41417" w:rsidRDefault="00E41417" w:rsidP="00070510">
      <w:pPr>
        <w:textAlignment w:val="baseline"/>
        <w:rPr>
          <w:rFonts w:ascii="Calibri" w:eastAsia="Calibri" w:hAnsi="Calibri"/>
          <w:szCs w:val="24"/>
        </w:rPr>
      </w:pPr>
    </w:p>
    <w:p w:rsidR="00157499" w:rsidRDefault="00913054" w:rsidP="00070510">
      <w:pPr>
        <w:textAlignment w:val="baseline"/>
        <w:rPr>
          <w:rFonts w:ascii="Calibri" w:eastAsia="Calibri" w:hAnsi="Calibri"/>
          <w:szCs w:val="24"/>
        </w:rPr>
      </w:pPr>
      <w:bookmarkStart w:id="0" w:name="_GoBack"/>
      <w:bookmarkEnd w:id="0"/>
      <w:r>
        <w:rPr>
          <w:rFonts w:ascii="Calibri" w:eastAsia="Calibri" w:hAnsi="Calibri"/>
          <w:szCs w:val="24"/>
        </w:rPr>
        <w:lastRenderedPageBreak/>
        <w:t>T</w:t>
      </w:r>
      <w:r w:rsidR="00157499" w:rsidRPr="00FB5A60">
        <w:rPr>
          <w:rFonts w:ascii="Calibri" w:eastAsia="Calibri" w:hAnsi="Calibri"/>
          <w:szCs w:val="24"/>
        </w:rPr>
        <w:t xml:space="preserve">he below areas serves as a cross reference for facility leaders to conduct addition policy and procedure review across departments to incorporate the changes set forth in </w:t>
      </w:r>
      <w:r w:rsidR="001860CE">
        <w:rPr>
          <w:rFonts w:asciiTheme="minorHAnsi" w:hAnsiTheme="minorHAnsi"/>
          <w:b/>
          <w:bCs/>
          <w:szCs w:val="24"/>
        </w:rPr>
        <w:t>§483.21</w:t>
      </w:r>
      <w:r w:rsidR="001860CE">
        <w:rPr>
          <w:rFonts w:asciiTheme="minorHAnsi" w:hAnsiTheme="minorHAnsi"/>
          <w:b/>
          <w:bCs/>
          <w:iCs/>
          <w:szCs w:val="24"/>
        </w:rPr>
        <w:t>(c</w:t>
      </w:r>
      <w:proofErr w:type="gramStart"/>
      <w:r w:rsidR="001860CE">
        <w:rPr>
          <w:rFonts w:asciiTheme="minorHAnsi" w:hAnsiTheme="minorHAnsi"/>
          <w:b/>
          <w:bCs/>
          <w:iCs/>
          <w:szCs w:val="24"/>
        </w:rPr>
        <w:t>)(</w:t>
      </w:r>
      <w:proofErr w:type="gramEnd"/>
      <w:r w:rsidR="00070510" w:rsidRPr="00DC0BC7">
        <w:rPr>
          <w:rFonts w:asciiTheme="minorHAnsi" w:hAnsiTheme="minorHAnsi"/>
          <w:b/>
          <w:bCs/>
          <w:iCs/>
          <w:szCs w:val="24"/>
        </w:rPr>
        <w:t xml:space="preserve">2) </w:t>
      </w:r>
      <w:r w:rsidR="00157499" w:rsidRPr="00FB5A60">
        <w:rPr>
          <w:rFonts w:ascii="Calibri" w:eastAsia="Calibri" w:hAnsi="Calibri"/>
          <w:b/>
          <w:bCs/>
          <w:szCs w:val="24"/>
        </w:rPr>
        <w:t xml:space="preserve"> </w:t>
      </w:r>
      <w:r w:rsidR="00023831">
        <w:rPr>
          <w:rFonts w:ascii="Calibri" w:hAnsi="Calibri" w:cs="Segoe UI"/>
          <w:b/>
          <w:bCs/>
          <w:szCs w:val="24"/>
        </w:rPr>
        <w:t xml:space="preserve">   </w:t>
      </w:r>
      <w:r w:rsidR="001860CE">
        <w:rPr>
          <w:rFonts w:ascii="Calibri" w:hAnsi="Calibri" w:cs="Segoe UI"/>
          <w:b/>
          <w:bCs/>
          <w:szCs w:val="24"/>
        </w:rPr>
        <w:t>Discharge Summary</w:t>
      </w:r>
      <w:r w:rsidR="00023831">
        <w:rPr>
          <w:rFonts w:ascii="Calibri" w:hAnsi="Calibri" w:cs="Segoe UI"/>
          <w:b/>
          <w:bCs/>
          <w:szCs w:val="24"/>
        </w:rPr>
        <w:t>.</w:t>
      </w:r>
      <w:r w:rsidR="00157499" w:rsidRPr="00FB5A60">
        <w:rPr>
          <w:rFonts w:ascii="Calibri" w:eastAsia="Calibri" w:hAnsi="Calibri"/>
          <w:b/>
          <w:bCs/>
          <w:szCs w:val="24"/>
        </w:rPr>
        <w:t xml:space="preserve"> </w:t>
      </w:r>
      <w:r w:rsidR="00157499" w:rsidRPr="00FB5A60">
        <w:rPr>
          <w:rFonts w:ascii="Calibri" w:eastAsia="Calibri" w:hAnsi="Calibri"/>
          <w:szCs w:val="24"/>
        </w:rPr>
        <w:t xml:space="preserve">This listing is not all encompassing however should serve as a resource for leaders as they update their internal policies, procedures and operational processes. </w:t>
      </w:r>
    </w:p>
    <w:p w:rsidR="00E410E3" w:rsidRPr="00FB5A60" w:rsidRDefault="00E410E3" w:rsidP="00E410E3">
      <w:pPr>
        <w:spacing w:before="120"/>
        <w:rPr>
          <w:rFonts w:ascii="Calibri" w:eastAsia="Calibri" w:hAnsi="Calibri"/>
          <w:szCs w:val="24"/>
        </w:rPr>
      </w:pPr>
    </w:p>
    <w:p w:rsidR="00023831" w:rsidRPr="00023831" w:rsidRDefault="00023831" w:rsidP="00023831">
      <w:pPr>
        <w:rPr>
          <w:rFonts w:asciiTheme="minorHAnsi" w:hAnsiTheme="minorHAnsi"/>
          <w:sz w:val="22"/>
        </w:rPr>
      </w:pPr>
      <w:r w:rsidRPr="00023831">
        <w:rPr>
          <w:rFonts w:asciiTheme="minorHAnsi" w:hAnsiTheme="minorHAnsi"/>
        </w:rPr>
        <w:t>Cross Reference: (additional areas for review)</w:t>
      </w:r>
    </w:p>
    <w:p w:rsidR="00023831" w:rsidRDefault="00023831" w:rsidP="00023831">
      <w:pPr>
        <w:ind w:left="720"/>
        <w:rPr>
          <w:rFonts w:asciiTheme="minorHAnsi" w:hAnsiTheme="minorHAnsi"/>
        </w:rPr>
      </w:pPr>
      <w:r w:rsidRPr="00070510">
        <w:rPr>
          <w:rFonts w:asciiTheme="minorHAnsi" w:hAnsiTheme="minorHAnsi"/>
        </w:rPr>
        <w:t>Resident Rights</w:t>
      </w:r>
    </w:p>
    <w:p w:rsidR="00070510" w:rsidRPr="00070510" w:rsidRDefault="00070510" w:rsidP="00023831">
      <w:pPr>
        <w:ind w:left="720"/>
        <w:rPr>
          <w:rFonts w:asciiTheme="minorHAnsi" w:hAnsiTheme="minorHAnsi"/>
        </w:rPr>
      </w:pPr>
      <w:r>
        <w:rPr>
          <w:rFonts w:asciiTheme="minorHAnsi" w:hAnsiTheme="minorHAnsi"/>
        </w:rPr>
        <w:t>Resident Postings</w:t>
      </w:r>
    </w:p>
    <w:p w:rsidR="00023831" w:rsidRPr="00070510" w:rsidRDefault="00023831" w:rsidP="00023831">
      <w:pPr>
        <w:ind w:left="720"/>
        <w:rPr>
          <w:rFonts w:asciiTheme="minorHAnsi" w:hAnsiTheme="minorHAnsi"/>
        </w:rPr>
      </w:pPr>
      <w:r w:rsidRPr="00070510">
        <w:rPr>
          <w:rFonts w:asciiTheme="minorHAnsi" w:hAnsiTheme="minorHAnsi"/>
        </w:rPr>
        <w:t>CMS Definitions</w:t>
      </w:r>
    </w:p>
    <w:p w:rsidR="00070510" w:rsidRPr="00070510" w:rsidRDefault="00070510" w:rsidP="00023831">
      <w:pPr>
        <w:ind w:left="720"/>
        <w:rPr>
          <w:rFonts w:asciiTheme="minorHAnsi" w:hAnsiTheme="minorHAnsi"/>
        </w:rPr>
      </w:pPr>
      <w:r w:rsidRPr="00070510">
        <w:rPr>
          <w:rFonts w:asciiTheme="minorHAnsi" w:hAnsiTheme="minorHAnsi"/>
        </w:rPr>
        <w:t>Admission Agreement</w:t>
      </w:r>
    </w:p>
    <w:p w:rsidR="00070510" w:rsidRPr="00070510" w:rsidRDefault="00070510" w:rsidP="00023831">
      <w:pPr>
        <w:ind w:left="720"/>
        <w:rPr>
          <w:rFonts w:asciiTheme="minorHAnsi" w:hAnsiTheme="minorHAnsi"/>
        </w:rPr>
      </w:pPr>
      <w:r w:rsidRPr="00070510">
        <w:rPr>
          <w:rFonts w:asciiTheme="minorHAnsi" w:hAnsiTheme="minorHAnsi"/>
        </w:rPr>
        <w:t>Admission Policy</w:t>
      </w:r>
    </w:p>
    <w:p w:rsidR="00070510" w:rsidRPr="00070510" w:rsidRDefault="00070510" w:rsidP="00023831">
      <w:pPr>
        <w:ind w:left="720"/>
        <w:rPr>
          <w:rFonts w:asciiTheme="minorHAnsi" w:hAnsiTheme="minorHAnsi"/>
        </w:rPr>
      </w:pPr>
      <w:r w:rsidRPr="00070510">
        <w:rPr>
          <w:rFonts w:asciiTheme="minorHAnsi" w:hAnsiTheme="minorHAnsi"/>
        </w:rPr>
        <w:t>Resident Education</w:t>
      </w:r>
    </w:p>
    <w:p w:rsidR="00070510" w:rsidRPr="00070510" w:rsidRDefault="00070510" w:rsidP="00023831">
      <w:pPr>
        <w:ind w:left="720"/>
        <w:rPr>
          <w:rFonts w:asciiTheme="minorHAnsi" w:hAnsiTheme="minorHAnsi"/>
        </w:rPr>
      </w:pPr>
      <w:r w:rsidRPr="00070510">
        <w:rPr>
          <w:rFonts w:asciiTheme="minorHAnsi" w:hAnsiTheme="minorHAnsi"/>
        </w:rPr>
        <w:t>Resident Representative Education</w:t>
      </w:r>
    </w:p>
    <w:p w:rsidR="00070510" w:rsidRPr="00070510" w:rsidRDefault="00070510" w:rsidP="00023831">
      <w:pPr>
        <w:ind w:left="720"/>
        <w:rPr>
          <w:rFonts w:asciiTheme="minorHAnsi" w:hAnsiTheme="minorHAnsi"/>
        </w:rPr>
      </w:pPr>
      <w:r w:rsidRPr="00070510">
        <w:rPr>
          <w:rFonts w:asciiTheme="minorHAnsi" w:hAnsiTheme="minorHAnsi"/>
        </w:rPr>
        <w:t>Transitions of Care Policies and Procedures</w:t>
      </w:r>
    </w:p>
    <w:p w:rsidR="00070510" w:rsidRPr="00070510" w:rsidRDefault="00070510" w:rsidP="00023831">
      <w:pPr>
        <w:ind w:left="720"/>
        <w:rPr>
          <w:rFonts w:asciiTheme="minorHAnsi" w:hAnsiTheme="minorHAnsi"/>
        </w:rPr>
      </w:pPr>
      <w:r w:rsidRPr="00070510">
        <w:rPr>
          <w:rFonts w:asciiTheme="minorHAnsi" w:hAnsiTheme="minorHAnsi"/>
        </w:rPr>
        <w:t>Admission, transfer, discharge policies and procedures</w:t>
      </w:r>
    </w:p>
    <w:p w:rsidR="00070510" w:rsidRPr="00070510" w:rsidRDefault="00070510" w:rsidP="00023831">
      <w:pPr>
        <w:ind w:left="720"/>
        <w:rPr>
          <w:rFonts w:asciiTheme="minorHAnsi" w:hAnsiTheme="minorHAnsi"/>
        </w:rPr>
      </w:pPr>
      <w:r w:rsidRPr="00070510">
        <w:rPr>
          <w:rFonts w:asciiTheme="minorHAnsi" w:hAnsiTheme="minorHAnsi"/>
        </w:rPr>
        <w:t>Change of Condition policies and procedures</w:t>
      </w:r>
    </w:p>
    <w:p w:rsidR="00070510" w:rsidRPr="00070510" w:rsidRDefault="00070510" w:rsidP="00023831">
      <w:pPr>
        <w:ind w:left="720"/>
        <w:rPr>
          <w:rFonts w:asciiTheme="minorHAnsi" w:hAnsiTheme="minorHAnsi"/>
        </w:rPr>
      </w:pPr>
      <w:r w:rsidRPr="00070510">
        <w:rPr>
          <w:rFonts w:asciiTheme="minorHAnsi" w:hAnsiTheme="minorHAnsi"/>
        </w:rPr>
        <w:t>Notification policies and procedures</w:t>
      </w:r>
    </w:p>
    <w:p w:rsidR="00070510" w:rsidRPr="00070510" w:rsidRDefault="00070510" w:rsidP="00023831">
      <w:pPr>
        <w:ind w:left="720"/>
        <w:rPr>
          <w:rFonts w:asciiTheme="minorHAnsi" w:hAnsiTheme="minorHAnsi"/>
        </w:rPr>
      </w:pPr>
      <w:r w:rsidRPr="00070510">
        <w:rPr>
          <w:rFonts w:asciiTheme="minorHAnsi" w:hAnsiTheme="minorHAnsi"/>
        </w:rPr>
        <w:t>Individualize Resident Assessment policies and procedures</w:t>
      </w:r>
    </w:p>
    <w:p w:rsidR="00070510" w:rsidRPr="00070510" w:rsidRDefault="00070510" w:rsidP="00023831">
      <w:pPr>
        <w:ind w:left="720"/>
        <w:rPr>
          <w:rFonts w:asciiTheme="minorHAnsi" w:hAnsiTheme="minorHAnsi"/>
        </w:rPr>
      </w:pPr>
      <w:r w:rsidRPr="00070510">
        <w:rPr>
          <w:rFonts w:asciiTheme="minorHAnsi" w:hAnsiTheme="minorHAnsi"/>
        </w:rPr>
        <w:t>Comprehensive Person Centered Care Plan policies and procedures</w:t>
      </w:r>
    </w:p>
    <w:p w:rsidR="00070510" w:rsidRPr="00070510" w:rsidRDefault="00070510" w:rsidP="00023831">
      <w:pPr>
        <w:ind w:left="720"/>
        <w:rPr>
          <w:rFonts w:asciiTheme="minorHAnsi" w:hAnsiTheme="minorHAnsi"/>
        </w:rPr>
      </w:pPr>
      <w:r w:rsidRPr="00070510">
        <w:rPr>
          <w:rFonts w:asciiTheme="minorHAnsi" w:hAnsiTheme="minorHAnsi"/>
        </w:rPr>
        <w:t>Physician Policies</w:t>
      </w:r>
    </w:p>
    <w:p w:rsidR="00070510" w:rsidRPr="00070510" w:rsidRDefault="00070510" w:rsidP="00023831">
      <w:pPr>
        <w:ind w:left="720"/>
        <w:rPr>
          <w:rFonts w:asciiTheme="minorHAnsi" w:hAnsiTheme="minorHAnsi"/>
        </w:rPr>
      </w:pPr>
      <w:r w:rsidRPr="00070510">
        <w:rPr>
          <w:rFonts w:asciiTheme="minorHAnsi" w:hAnsiTheme="minorHAnsi"/>
        </w:rPr>
        <w:t>Medical Director Policies</w:t>
      </w:r>
    </w:p>
    <w:p w:rsidR="00070510" w:rsidRPr="00070510" w:rsidRDefault="00070510" w:rsidP="00023831">
      <w:pPr>
        <w:ind w:left="720"/>
        <w:rPr>
          <w:rFonts w:asciiTheme="minorHAnsi" w:hAnsiTheme="minorHAnsi"/>
        </w:rPr>
      </w:pPr>
      <w:r w:rsidRPr="00070510">
        <w:rPr>
          <w:rFonts w:asciiTheme="minorHAnsi" w:hAnsiTheme="minorHAnsi"/>
        </w:rPr>
        <w:t xml:space="preserve">Resident Care Policies </w:t>
      </w:r>
    </w:p>
    <w:p w:rsidR="00070510" w:rsidRPr="00070510" w:rsidRDefault="00070510" w:rsidP="00023831">
      <w:pPr>
        <w:ind w:left="720"/>
        <w:rPr>
          <w:rFonts w:asciiTheme="minorHAnsi" w:hAnsiTheme="minorHAnsi"/>
        </w:rPr>
      </w:pPr>
      <w:r w:rsidRPr="00070510">
        <w:rPr>
          <w:rFonts w:asciiTheme="minorHAnsi" w:hAnsiTheme="minorHAnsi"/>
        </w:rPr>
        <w:t>Hospital Transfer Agreements</w:t>
      </w:r>
    </w:p>
    <w:p w:rsidR="00070510" w:rsidRPr="00070510" w:rsidRDefault="00070510" w:rsidP="00023831">
      <w:pPr>
        <w:ind w:left="720"/>
        <w:rPr>
          <w:rFonts w:asciiTheme="minorHAnsi" w:hAnsiTheme="minorHAnsi"/>
        </w:rPr>
      </w:pPr>
      <w:r w:rsidRPr="00070510">
        <w:rPr>
          <w:rFonts w:asciiTheme="minorHAnsi" w:hAnsiTheme="minorHAnsi"/>
        </w:rPr>
        <w:t>Medical Records and Retention</w:t>
      </w:r>
    </w:p>
    <w:p w:rsidR="00023831" w:rsidRPr="00070510" w:rsidRDefault="00023831" w:rsidP="00023831">
      <w:pPr>
        <w:ind w:left="720"/>
        <w:rPr>
          <w:rFonts w:asciiTheme="minorHAnsi" w:hAnsiTheme="minorHAnsi"/>
        </w:rPr>
      </w:pPr>
      <w:r w:rsidRPr="00070510">
        <w:rPr>
          <w:rFonts w:asciiTheme="minorHAnsi" w:hAnsiTheme="minorHAnsi"/>
        </w:rPr>
        <w:t xml:space="preserve">Employee Orientation </w:t>
      </w:r>
    </w:p>
    <w:p w:rsidR="00023831" w:rsidRPr="00070510" w:rsidRDefault="00023831" w:rsidP="00023831">
      <w:pPr>
        <w:ind w:left="720"/>
        <w:rPr>
          <w:rFonts w:asciiTheme="minorHAnsi" w:hAnsiTheme="minorHAnsi"/>
        </w:rPr>
      </w:pPr>
      <w:r w:rsidRPr="00070510">
        <w:rPr>
          <w:rFonts w:asciiTheme="minorHAnsi" w:hAnsiTheme="minorHAnsi"/>
        </w:rPr>
        <w:t>Annual Training Requirements</w:t>
      </w:r>
    </w:p>
    <w:p w:rsidR="00023831" w:rsidRPr="00070510" w:rsidRDefault="00023831" w:rsidP="00023831">
      <w:pPr>
        <w:ind w:left="720"/>
        <w:rPr>
          <w:rFonts w:asciiTheme="minorHAnsi" w:hAnsiTheme="minorHAnsi"/>
        </w:rPr>
      </w:pPr>
      <w:r w:rsidRPr="00070510">
        <w:rPr>
          <w:rFonts w:asciiTheme="minorHAnsi" w:hAnsiTheme="minorHAnsi"/>
        </w:rPr>
        <w:t>Quality Assurance and Performance Improvement</w:t>
      </w:r>
    </w:p>
    <w:p w:rsidR="00157499" w:rsidRPr="00FB5A60" w:rsidRDefault="00157499" w:rsidP="00157499">
      <w:pPr>
        <w:ind w:left="720"/>
        <w:textAlignment w:val="baseline"/>
        <w:rPr>
          <w:rFonts w:ascii="Segoe UI" w:hAnsi="Segoe UI" w:cs="Segoe UI"/>
          <w:sz w:val="14"/>
          <w:szCs w:val="12"/>
        </w:rPr>
      </w:pPr>
      <w:r w:rsidRPr="00FB5A60">
        <w:rPr>
          <w:rFonts w:ascii="Calibri" w:hAnsi="Calibri" w:cs="Segoe UI"/>
          <w:szCs w:val="22"/>
        </w:rPr>
        <w:t> </w:t>
      </w:r>
    </w:p>
    <w:p w:rsidR="00157499" w:rsidRPr="00157499" w:rsidRDefault="00157499" w:rsidP="00157499">
      <w:pPr>
        <w:textAlignment w:val="baseline"/>
        <w:rPr>
          <w:rFonts w:ascii="Segoe UI" w:hAnsi="Segoe UI" w:cs="Segoe UI"/>
          <w:sz w:val="12"/>
          <w:szCs w:val="12"/>
        </w:rPr>
      </w:pPr>
      <w:r w:rsidRPr="00157499">
        <w:rPr>
          <w:rFonts w:ascii="Calibri" w:hAnsi="Calibri" w:cs="Segoe UI"/>
          <w:sz w:val="22"/>
          <w:szCs w:val="22"/>
        </w:rPr>
        <w:t> </w:t>
      </w:r>
    </w:p>
    <w:p w:rsidR="00157499" w:rsidRPr="00157499" w:rsidRDefault="00157499" w:rsidP="00157499">
      <w:pPr>
        <w:textAlignment w:val="baseline"/>
        <w:rPr>
          <w:rFonts w:ascii="Segoe UI" w:hAnsi="Segoe UI" w:cs="Segoe UI"/>
          <w:sz w:val="12"/>
          <w:szCs w:val="12"/>
        </w:rPr>
      </w:pPr>
    </w:p>
    <w:p w:rsidR="00DE7AF9" w:rsidRDefault="00DE7AF9" w:rsidP="00157499">
      <w:pPr>
        <w:spacing w:after="160" w:line="259" w:lineRule="auto"/>
        <w:rPr>
          <w:rFonts w:ascii="Calibri" w:hAnsi="Calibri"/>
          <w:b/>
          <w:sz w:val="32"/>
        </w:rPr>
      </w:pPr>
    </w:p>
    <w:sectPr w:rsidR="00DE7AF9" w:rsidSect="00DE7AF9">
      <w:headerReference w:type="default" r:id="rId9"/>
      <w:footerReference w:type="default" r:id="rId10"/>
      <w:headerReference w:type="first" r:id="rId11"/>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05E" w:rsidRDefault="0085005E" w:rsidP="00FE158D">
      <w:r>
        <w:separator/>
      </w:r>
    </w:p>
  </w:endnote>
  <w:endnote w:type="continuationSeparator" w:id="0">
    <w:p w:rsidR="0085005E" w:rsidRDefault="0085005E"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Melior">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05E" w:rsidRDefault="0085005E" w:rsidP="00FE158D">
      <w:r>
        <w:separator/>
      </w:r>
    </w:p>
  </w:footnote>
  <w:footnote w:type="continuationSeparator" w:id="0">
    <w:p w:rsidR="0085005E" w:rsidRDefault="0085005E"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E066E"/>
    <w:multiLevelType w:val="hybridMultilevel"/>
    <w:tmpl w:val="55D42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4"/>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3">
    <w:nsid w:val="00F900B7"/>
    <w:multiLevelType w:val="hybridMultilevel"/>
    <w:tmpl w:val="31CA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B15062"/>
    <w:multiLevelType w:val="hybridMultilevel"/>
    <w:tmpl w:val="161480AE"/>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8">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6">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7">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0">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6">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8">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C156C79"/>
    <w:multiLevelType w:val="hybridMultilevel"/>
    <w:tmpl w:val="E8C4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EF8638A"/>
    <w:multiLevelType w:val="hybridMultilevel"/>
    <w:tmpl w:val="BEB0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2"/>
  </w:num>
  <w:num w:numId="24">
    <w:abstractNumId w:val="13"/>
  </w:num>
  <w:num w:numId="25">
    <w:abstractNumId w:val="21"/>
  </w:num>
  <w:num w:numId="26">
    <w:abstractNumId w:val="17"/>
  </w:num>
  <w:num w:numId="27">
    <w:abstractNumId w:val="22"/>
  </w:num>
  <w:num w:numId="28">
    <w:abstractNumId w:val="11"/>
  </w:num>
  <w:num w:numId="29">
    <w:abstractNumId w:val="26"/>
  </w:num>
  <w:num w:numId="30">
    <w:abstractNumId w:val="24"/>
  </w:num>
  <w:num w:numId="31">
    <w:abstractNumId w:val="35"/>
  </w:num>
  <w:num w:numId="32">
    <w:abstractNumId w:val="7"/>
  </w:num>
  <w:num w:numId="33">
    <w:abstractNumId w:val="4"/>
  </w:num>
  <w:num w:numId="34">
    <w:abstractNumId w:val="5"/>
  </w:num>
  <w:num w:numId="35">
    <w:abstractNumId w:val="1"/>
  </w:num>
  <w:num w:numId="36">
    <w:abstractNumId w:val="0"/>
  </w:num>
  <w:num w:numId="37">
    <w:abstractNumId w:val="34"/>
  </w:num>
  <w:num w:numId="38">
    <w:abstractNumId w:val="3"/>
  </w:num>
  <w:num w:numId="39">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23831"/>
    <w:rsid w:val="00066D50"/>
    <w:rsid w:val="00070510"/>
    <w:rsid w:val="000D5B62"/>
    <w:rsid w:val="000E228A"/>
    <w:rsid w:val="000F7E90"/>
    <w:rsid w:val="0012309D"/>
    <w:rsid w:val="00157499"/>
    <w:rsid w:val="00170AD2"/>
    <w:rsid w:val="00185739"/>
    <w:rsid w:val="001860CE"/>
    <w:rsid w:val="001E1B8D"/>
    <w:rsid w:val="0021631A"/>
    <w:rsid w:val="002376A2"/>
    <w:rsid w:val="002652DA"/>
    <w:rsid w:val="002C5F29"/>
    <w:rsid w:val="002F2B8A"/>
    <w:rsid w:val="003011C7"/>
    <w:rsid w:val="00301AA8"/>
    <w:rsid w:val="003510B5"/>
    <w:rsid w:val="003644EB"/>
    <w:rsid w:val="00372DF7"/>
    <w:rsid w:val="00373CF0"/>
    <w:rsid w:val="003A3E8D"/>
    <w:rsid w:val="003B0939"/>
    <w:rsid w:val="003F0C77"/>
    <w:rsid w:val="00480768"/>
    <w:rsid w:val="00484844"/>
    <w:rsid w:val="004E0037"/>
    <w:rsid w:val="004F174B"/>
    <w:rsid w:val="00534CAA"/>
    <w:rsid w:val="0053732B"/>
    <w:rsid w:val="005438CB"/>
    <w:rsid w:val="00593E4B"/>
    <w:rsid w:val="005B296E"/>
    <w:rsid w:val="005F036A"/>
    <w:rsid w:val="006034EC"/>
    <w:rsid w:val="00603AC0"/>
    <w:rsid w:val="00605605"/>
    <w:rsid w:val="00610027"/>
    <w:rsid w:val="0061110D"/>
    <w:rsid w:val="006338B1"/>
    <w:rsid w:val="00640A6F"/>
    <w:rsid w:val="006454F9"/>
    <w:rsid w:val="006A3CC2"/>
    <w:rsid w:val="006B2ED2"/>
    <w:rsid w:val="007046C2"/>
    <w:rsid w:val="007251EF"/>
    <w:rsid w:val="00783084"/>
    <w:rsid w:val="007A61F1"/>
    <w:rsid w:val="007F26C3"/>
    <w:rsid w:val="00805910"/>
    <w:rsid w:val="00823348"/>
    <w:rsid w:val="008259FB"/>
    <w:rsid w:val="0085005E"/>
    <w:rsid w:val="00856FA1"/>
    <w:rsid w:val="008A62E8"/>
    <w:rsid w:val="008B6D99"/>
    <w:rsid w:val="008E7224"/>
    <w:rsid w:val="009073EC"/>
    <w:rsid w:val="00913054"/>
    <w:rsid w:val="009478FB"/>
    <w:rsid w:val="00951B77"/>
    <w:rsid w:val="00964A22"/>
    <w:rsid w:val="009B7479"/>
    <w:rsid w:val="009C106D"/>
    <w:rsid w:val="009C15B2"/>
    <w:rsid w:val="009C583E"/>
    <w:rsid w:val="009F0488"/>
    <w:rsid w:val="00A039B0"/>
    <w:rsid w:val="00A20014"/>
    <w:rsid w:val="00A25232"/>
    <w:rsid w:val="00A40123"/>
    <w:rsid w:val="00A9460A"/>
    <w:rsid w:val="00AB677E"/>
    <w:rsid w:val="00AC0FC3"/>
    <w:rsid w:val="00B019EA"/>
    <w:rsid w:val="00B24FB4"/>
    <w:rsid w:val="00BB507F"/>
    <w:rsid w:val="00BB7AB3"/>
    <w:rsid w:val="00C0102E"/>
    <w:rsid w:val="00C170A5"/>
    <w:rsid w:val="00C71D53"/>
    <w:rsid w:val="00C76BE9"/>
    <w:rsid w:val="00D7793D"/>
    <w:rsid w:val="00DB6D68"/>
    <w:rsid w:val="00DC0BC7"/>
    <w:rsid w:val="00DC40AB"/>
    <w:rsid w:val="00DE7AF9"/>
    <w:rsid w:val="00E410E3"/>
    <w:rsid w:val="00E41417"/>
    <w:rsid w:val="00E94EC6"/>
    <w:rsid w:val="00EB192F"/>
    <w:rsid w:val="00ED6153"/>
    <w:rsid w:val="00EE4620"/>
    <w:rsid w:val="00EF0A00"/>
    <w:rsid w:val="00EF400A"/>
    <w:rsid w:val="00F402F5"/>
    <w:rsid w:val="00FB157C"/>
    <w:rsid w:val="00FB5A60"/>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1860CE"/>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1860CE"/>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1860CE"/>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1860C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7528">
      <w:bodyDiv w:val="1"/>
      <w:marLeft w:val="0"/>
      <w:marRight w:val="0"/>
      <w:marTop w:val="0"/>
      <w:marBottom w:val="0"/>
      <w:divBdr>
        <w:top w:val="none" w:sz="0" w:space="0" w:color="auto"/>
        <w:left w:val="none" w:sz="0" w:space="0" w:color="auto"/>
        <w:bottom w:val="none" w:sz="0" w:space="0" w:color="auto"/>
        <w:right w:val="none" w:sz="0" w:space="0" w:color="auto"/>
      </w:divBdr>
    </w:div>
    <w:div w:id="210194961">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671185639">
      <w:bodyDiv w:val="1"/>
      <w:marLeft w:val="0"/>
      <w:marRight w:val="0"/>
      <w:marTop w:val="0"/>
      <w:marBottom w:val="0"/>
      <w:divBdr>
        <w:top w:val="none" w:sz="0" w:space="0" w:color="auto"/>
        <w:left w:val="none" w:sz="0" w:space="0" w:color="auto"/>
        <w:bottom w:val="none" w:sz="0" w:space="0" w:color="auto"/>
        <w:right w:val="none" w:sz="0" w:space="0" w:color="auto"/>
      </w:divBdr>
    </w:div>
    <w:div w:id="689339749">
      <w:bodyDiv w:val="1"/>
      <w:marLeft w:val="0"/>
      <w:marRight w:val="0"/>
      <w:marTop w:val="0"/>
      <w:marBottom w:val="0"/>
      <w:divBdr>
        <w:top w:val="none" w:sz="0" w:space="0" w:color="auto"/>
        <w:left w:val="none" w:sz="0" w:space="0" w:color="auto"/>
        <w:bottom w:val="none" w:sz="0" w:space="0" w:color="auto"/>
        <w:right w:val="none" w:sz="0" w:space="0" w:color="auto"/>
      </w:divBdr>
    </w:div>
    <w:div w:id="699280361">
      <w:bodyDiv w:val="1"/>
      <w:marLeft w:val="0"/>
      <w:marRight w:val="0"/>
      <w:marTop w:val="0"/>
      <w:marBottom w:val="0"/>
      <w:divBdr>
        <w:top w:val="none" w:sz="0" w:space="0" w:color="auto"/>
        <w:left w:val="none" w:sz="0" w:space="0" w:color="auto"/>
        <w:bottom w:val="none" w:sz="0" w:space="0" w:color="auto"/>
        <w:right w:val="none" w:sz="0" w:space="0" w:color="auto"/>
      </w:divBdr>
    </w:div>
    <w:div w:id="733889799">
      <w:bodyDiv w:val="1"/>
      <w:marLeft w:val="0"/>
      <w:marRight w:val="0"/>
      <w:marTop w:val="0"/>
      <w:marBottom w:val="0"/>
      <w:divBdr>
        <w:top w:val="none" w:sz="0" w:space="0" w:color="auto"/>
        <w:left w:val="none" w:sz="0" w:space="0" w:color="auto"/>
        <w:bottom w:val="none" w:sz="0" w:space="0" w:color="auto"/>
        <w:right w:val="none" w:sz="0" w:space="0" w:color="auto"/>
      </w:divBdr>
    </w:div>
    <w:div w:id="822551581">
      <w:bodyDiv w:val="1"/>
      <w:marLeft w:val="0"/>
      <w:marRight w:val="0"/>
      <w:marTop w:val="0"/>
      <w:marBottom w:val="0"/>
      <w:divBdr>
        <w:top w:val="none" w:sz="0" w:space="0" w:color="auto"/>
        <w:left w:val="none" w:sz="0" w:space="0" w:color="auto"/>
        <w:bottom w:val="none" w:sz="0" w:space="0" w:color="auto"/>
        <w:right w:val="none" w:sz="0" w:space="0" w:color="auto"/>
      </w:divBdr>
    </w:div>
    <w:div w:id="1158379829">
      <w:bodyDiv w:val="1"/>
      <w:marLeft w:val="0"/>
      <w:marRight w:val="0"/>
      <w:marTop w:val="0"/>
      <w:marBottom w:val="0"/>
      <w:divBdr>
        <w:top w:val="none" w:sz="0" w:space="0" w:color="auto"/>
        <w:left w:val="none" w:sz="0" w:space="0" w:color="auto"/>
        <w:bottom w:val="none" w:sz="0" w:space="0" w:color="auto"/>
        <w:right w:val="none" w:sz="0" w:space="0" w:color="auto"/>
      </w:divBdr>
    </w:div>
    <w:div w:id="1203402259">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522206584">
      <w:bodyDiv w:val="1"/>
      <w:marLeft w:val="0"/>
      <w:marRight w:val="0"/>
      <w:marTop w:val="0"/>
      <w:marBottom w:val="0"/>
      <w:divBdr>
        <w:top w:val="none" w:sz="0" w:space="0" w:color="auto"/>
        <w:left w:val="none" w:sz="0" w:space="0" w:color="auto"/>
        <w:bottom w:val="none" w:sz="0" w:space="0" w:color="auto"/>
        <w:right w:val="none" w:sz="0" w:space="0" w:color="auto"/>
      </w:divBdr>
    </w:div>
    <w:div w:id="19253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D7555-B19E-4785-AD61-B2254943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Laura Richert</cp:lastModifiedBy>
  <cp:revision>3</cp:revision>
  <dcterms:created xsi:type="dcterms:W3CDTF">2017-01-28T01:22:00Z</dcterms:created>
  <dcterms:modified xsi:type="dcterms:W3CDTF">2017-02-08T18:30:00Z</dcterms:modified>
</cp:coreProperties>
</file>