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1BB" w:rsidRDefault="00FA6FBB">
                            <w:pPr>
                              <w:rPr>
                                <w:rFonts w:ascii="Calibri" w:hAnsi="Calibri"/>
                                <w:color w:val="FFFFFF" w:themeColor="background1"/>
                                <w:sz w:val="72"/>
                              </w:rPr>
                            </w:pPr>
                            <w:r>
                              <w:rPr>
                                <w:rFonts w:ascii="Calibri" w:hAnsi="Calibri"/>
                                <w:color w:val="FFFFFF" w:themeColor="background1"/>
                                <w:sz w:val="72"/>
                              </w:rPr>
                              <w:t xml:space="preserve">Discharge Summary </w:t>
                            </w:r>
                          </w:p>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Policy</w:t>
                            </w:r>
                            <w:r w:rsidR="00BE4375">
                              <w:rPr>
                                <w:rFonts w:ascii="Calibri" w:hAnsi="Calibri"/>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9801BB" w:rsidRDefault="00FA6FBB">
                      <w:pPr>
                        <w:rPr>
                          <w:rFonts w:ascii="Calibri" w:hAnsi="Calibri"/>
                          <w:color w:val="FFFFFF" w:themeColor="background1"/>
                          <w:sz w:val="72"/>
                        </w:rPr>
                      </w:pPr>
                      <w:r>
                        <w:rPr>
                          <w:rFonts w:ascii="Calibri" w:hAnsi="Calibri"/>
                          <w:color w:val="FFFFFF" w:themeColor="background1"/>
                          <w:sz w:val="72"/>
                        </w:rPr>
                        <w:t xml:space="preserve">Discharge Summary </w:t>
                      </w:r>
                    </w:p>
                    <w:p w:rsidR="00301AA8" w:rsidRPr="00301AA8" w:rsidRDefault="009C0D8A">
                      <w:pPr>
                        <w:rPr>
                          <w:rFonts w:ascii="Calibri" w:hAnsi="Calibri"/>
                          <w:color w:val="FFFFFF" w:themeColor="background1"/>
                          <w:sz w:val="72"/>
                          <w14:textFill>
                            <w14:noFill/>
                          </w14:textFill>
                        </w:rPr>
                      </w:pPr>
                      <w:r>
                        <w:rPr>
                          <w:rFonts w:ascii="Calibri" w:hAnsi="Calibri"/>
                          <w:color w:val="FFFFFF" w:themeColor="background1"/>
                          <w:sz w:val="72"/>
                        </w:rPr>
                        <w:t>Policy</w:t>
                      </w:r>
                      <w:r w:rsidR="00BE4375">
                        <w:rPr>
                          <w:rFonts w:ascii="Calibri" w:hAnsi="Calibri"/>
                          <w:color w:val="FFFFFF" w:themeColor="background1"/>
                          <w:sz w:val="72"/>
                        </w:rPr>
                        <w:t xml:space="preserve"> and Procedure</w:t>
                      </w:r>
                    </w:p>
                  </w:txbxContent>
                </v:textbox>
                <w10:wrap anchory="page"/>
              </v:shape>
            </w:pict>
          </mc:Fallback>
        </mc:AlternateContent>
      </w:r>
    </w:p>
    <w:p w:rsidR="009801BB" w:rsidRDefault="00605605" w:rsidP="009801BB">
      <w:pPr>
        <w:rPr>
          <w:rFonts w:asciiTheme="minorHAnsi" w:hAnsiTheme="minorHAnsi"/>
          <w:b/>
          <w:color w:val="000000" w:themeColor="text1"/>
          <w:sz w:val="22"/>
          <w:szCs w:val="22"/>
        </w:rPr>
      </w:pPr>
      <w:r>
        <w:rPr>
          <w:rFonts w:ascii="Calibri" w:hAnsi="Calibri"/>
          <w:b/>
          <w:noProof/>
          <w:sz w:val="32"/>
        </w:rPr>
        <mc:AlternateContent>
          <mc:Choice Requires="wps">
            <w:drawing>
              <wp:anchor distT="0" distB="0" distL="114300" distR="114300" simplePos="0" relativeHeight="251662336" behindDoc="0" locked="0" layoutInCell="1" allowOverlap="1" wp14:anchorId="04B24BC5" wp14:editId="47117951">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04B24BC5" id="Text Box 1" o:spid="_x0000_s1027" type="#_x0000_t202" style="position:absolute;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0467ED79" wp14:editId="220DF4A7">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 w14:anchorId="0467ED79" id="Text Box 5" o:spid="_x0000_s1028" type="#_x0000_t202" style="position:absolute;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p>
    <w:p w:rsidR="00B042B1" w:rsidRPr="00FA6FBB" w:rsidRDefault="00B042B1" w:rsidP="009801BB">
      <w:pPr>
        <w:jc w:val="center"/>
        <w:rPr>
          <w:rFonts w:asciiTheme="minorHAnsi" w:hAnsiTheme="minorHAnsi"/>
          <w:b/>
          <w:color w:val="000000" w:themeColor="text1"/>
          <w:sz w:val="28"/>
          <w:szCs w:val="28"/>
        </w:rPr>
      </w:pPr>
    </w:p>
    <w:p w:rsidR="00FA6FBB" w:rsidRPr="00FA6FBB" w:rsidRDefault="00FA6FBB" w:rsidP="00FA6FBB">
      <w:pPr>
        <w:pStyle w:val="paragraph"/>
        <w:spacing w:before="0" w:beforeAutospacing="0" w:after="0" w:afterAutospacing="0"/>
        <w:jc w:val="center"/>
        <w:textAlignment w:val="baseline"/>
        <w:rPr>
          <w:rStyle w:val="normaltextrun"/>
          <w:rFonts w:asciiTheme="minorHAnsi" w:hAnsiTheme="minorHAnsi" w:cs="Segoe UI"/>
          <w:b/>
          <w:bCs/>
          <w:sz w:val="28"/>
        </w:rPr>
      </w:pPr>
      <w:r w:rsidRPr="00FA6FBB">
        <w:rPr>
          <w:rStyle w:val="normaltextrun"/>
          <w:rFonts w:asciiTheme="minorHAnsi" w:hAnsiTheme="minorHAnsi" w:cs="Segoe UI"/>
          <w:b/>
          <w:bCs/>
          <w:sz w:val="28"/>
        </w:rPr>
        <w:t>DISCHARGE SUMMARY FACILITY POLICY</w:t>
      </w:r>
    </w:p>
    <w:p w:rsidR="00FA6FBB" w:rsidRPr="00FA6FBB" w:rsidRDefault="00FA6FBB" w:rsidP="00FA6FBB">
      <w:pPr>
        <w:pStyle w:val="paragraph"/>
        <w:spacing w:before="0" w:beforeAutospacing="0" w:after="0" w:afterAutospacing="0"/>
        <w:jc w:val="center"/>
        <w:textAlignment w:val="baseline"/>
        <w:rPr>
          <w:rStyle w:val="normaltextrun"/>
          <w:rFonts w:asciiTheme="minorHAnsi" w:hAnsiTheme="minorHAnsi" w:cs="Segoe UI"/>
          <w:bCs/>
        </w:rPr>
      </w:pPr>
    </w:p>
    <w:p w:rsidR="00FA6FBB" w:rsidRPr="00FA6FBB" w:rsidRDefault="00FA6FBB" w:rsidP="00FA6FBB">
      <w:pPr>
        <w:pStyle w:val="paragraph"/>
        <w:spacing w:before="0" w:beforeAutospacing="0" w:after="0" w:afterAutospacing="0"/>
        <w:jc w:val="center"/>
        <w:textAlignment w:val="baseline"/>
        <w:rPr>
          <w:rFonts w:asciiTheme="minorHAnsi" w:hAnsiTheme="minorHAnsi" w:cs="Segoe UI"/>
        </w:rPr>
      </w:pPr>
    </w:p>
    <w:p w:rsidR="00FA6FBB" w:rsidRPr="00FA6FBB" w:rsidRDefault="00FA6FBB" w:rsidP="007374FD">
      <w:pPr>
        <w:pStyle w:val="paragraph"/>
        <w:spacing w:before="0" w:beforeAutospacing="0" w:after="0" w:afterAutospacing="0"/>
        <w:textAlignment w:val="baseline"/>
        <w:rPr>
          <w:rStyle w:val="normaltextrun"/>
          <w:rFonts w:asciiTheme="minorHAnsi" w:hAnsiTheme="minorHAnsi" w:cs="Segoe UI"/>
          <w:b/>
          <w:bCs/>
          <w:sz w:val="28"/>
        </w:rPr>
      </w:pPr>
      <w:r w:rsidRPr="00FA6FBB">
        <w:rPr>
          <w:rStyle w:val="eop"/>
          <w:rFonts w:asciiTheme="minorHAnsi" w:hAnsiTheme="minorHAnsi" w:cs="Segoe UI"/>
          <w:sz w:val="28"/>
        </w:rPr>
        <w:t> </w:t>
      </w:r>
      <w:r w:rsidRPr="00FA6FBB">
        <w:rPr>
          <w:rStyle w:val="normaltextrun"/>
          <w:rFonts w:asciiTheme="minorHAnsi" w:hAnsiTheme="minorHAnsi" w:cs="Segoe UI"/>
          <w:b/>
          <w:bCs/>
          <w:sz w:val="28"/>
        </w:rPr>
        <w:t>POLICY        </w:t>
      </w:r>
    </w:p>
    <w:p w:rsidR="00FA6FBB" w:rsidRPr="00FA6FBB" w:rsidRDefault="00FA6FBB" w:rsidP="007374FD">
      <w:pPr>
        <w:pStyle w:val="paragraph"/>
        <w:spacing w:before="0" w:beforeAutospacing="0" w:after="0" w:afterAutospacing="0"/>
        <w:textAlignment w:val="baseline"/>
        <w:rPr>
          <w:rStyle w:val="normaltextrun"/>
          <w:rFonts w:asciiTheme="minorHAnsi" w:hAnsiTheme="minorHAnsi" w:cs="Segoe UI"/>
          <w:bCs/>
        </w:rPr>
      </w:pPr>
    </w:p>
    <w:p w:rsidR="00FA6FBB" w:rsidRDefault="00FA6FBB" w:rsidP="007374FD">
      <w:pPr>
        <w:pStyle w:val="paragraph"/>
        <w:spacing w:before="0" w:beforeAutospacing="0" w:after="0" w:afterAutospacing="0"/>
        <w:textAlignment w:val="baseline"/>
        <w:rPr>
          <w:rStyle w:val="normaltextrun"/>
          <w:rFonts w:asciiTheme="minorHAnsi" w:hAnsiTheme="minorHAnsi" w:cs="Segoe UI"/>
          <w:bCs/>
        </w:rPr>
      </w:pPr>
      <w:r w:rsidRPr="00FA6FBB">
        <w:rPr>
          <w:rStyle w:val="normaltextrun"/>
          <w:rFonts w:asciiTheme="minorHAnsi" w:hAnsiTheme="minorHAnsi" w:cs="Segoe UI"/>
          <w:bCs/>
        </w:rPr>
        <w:t xml:space="preserve"> It is the policy of this facility that residents who have a planned discharge from the facility will have a completed discharge plan and recapitulation of stay completed to facilitate continuity of care after discharge.  Post-discharge continuity of care is well known to improve health outcomes for discharged residents and to help prevent readmissions to the hospital. While the healthcare system searches for a computer-based solution to information sharing challenges, facilities must continue to provide relevant information about discharging residents to their care providers and to the residents and representatives. </w:t>
      </w:r>
    </w:p>
    <w:p w:rsidR="00D265AD" w:rsidRPr="00FA6FBB" w:rsidRDefault="00D265AD" w:rsidP="007374FD">
      <w:pPr>
        <w:pStyle w:val="paragraph"/>
        <w:spacing w:before="0" w:beforeAutospacing="0" w:after="0" w:afterAutospacing="0"/>
        <w:textAlignment w:val="baseline"/>
        <w:rPr>
          <w:rStyle w:val="normaltextrun"/>
          <w:rFonts w:asciiTheme="minorHAnsi" w:hAnsiTheme="minorHAnsi" w:cs="Segoe UI"/>
          <w:bCs/>
        </w:rPr>
      </w:pPr>
    </w:p>
    <w:p w:rsidR="00FA6FBB" w:rsidRPr="00FA6FBB" w:rsidRDefault="00FA6FBB" w:rsidP="007374FD">
      <w:pPr>
        <w:pStyle w:val="paragraph"/>
        <w:spacing w:before="0" w:beforeAutospacing="0" w:after="0" w:afterAutospacing="0"/>
        <w:textAlignment w:val="baseline"/>
        <w:rPr>
          <w:rFonts w:asciiTheme="minorHAnsi" w:hAnsiTheme="minorHAnsi" w:cs="Segoe UI"/>
        </w:rPr>
      </w:pPr>
      <w:r w:rsidRPr="00FA6FBB">
        <w:rPr>
          <w:rStyle w:val="normaltextrun"/>
          <w:rFonts w:asciiTheme="minorHAnsi" w:hAnsiTheme="minorHAnsi" w:cs="Segoe UI"/>
          <w:bCs/>
        </w:rPr>
        <w:t xml:space="preserve">A comprehensive discharge summary will describe for the next provider the resident’s course of stay, medical conditions and diagnoses, the results of relevant laboratory and other diagnostic testing completed in the facility, consultations completed in the facility and medications prescribed at discharge.  A Discharge Plan of Care </w:t>
      </w:r>
      <w:r w:rsidR="00143D98">
        <w:rPr>
          <w:rStyle w:val="normaltextrun"/>
          <w:rFonts w:asciiTheme="minorHAnsi" w:hAnsiTheme="minorHAnsi" w:cs="Segoe UI"/>
          <w:bCs/>
        </w:rPr>
        <w:t xml:space="preserve">(Reference </w:t>
      </w:r>
      <w:r w:rsidR="00143D98" w:rsidRPr="00143D98">
        <w:rPr>
          <w:rStyle w:val="normaltextrun"/>
          <w:rFonts w:asciiTheme="minorHAnsi" w:hAnsiTheme="minorHAnsi" w:cs="Segoe UI"/>
          <w:bCs/>
          <w:i/>
        </w:rPr>
        <w:t>“insert facility name of Discharge Plan of Care Policy”</w:t>
      </w:r>
      <w:r w:rsidR="00143D98">
        <w:rPr>
          <w:rStyle w:val="normaltextrun"/>
          <w:rFonts w:asciiTheme="minorHAnsi" w:hAnsiTheme="minorHAnsi" w:cs="Segoe UI"/>
          <w:bCs/>
        </w:rPr>
        <w:t>)</w:t>
      </w:r>
      <w:r w:rsidR="007374FD">
        <w:rPr>
          <w:rStyle w:val="normaltextrun"/>
          <w:rFonts w:asciiTheme="minorHAnsi" w:hAnsiTheme="minorHAnsi" w:cs="Segoe UI"/>
          <w:bCs/>
        </w:rPr>
        <w:t xml:space="preserve"> </w:t>
      </w:r>
      <w:r w:rsidRPr="00FA6FBB">
        <w:rPr>
          <w:rStyle w:val="normaltextrun"/>
          <w:rFonts w:asciiTheme="minorHAnsi" w:hAnsiTheme="minorHAnsi" w:cs="Segoe UI"/>
          <w:bCs/>
        </w:rPr>
        <w:t>is the second critical element of continuing care documents and is addressed in a separate document. When written in layman’s terms, the discharge summary and plan of care can also be used by the resident and care givers at home to deliver the proper care and identify when to call the community health care provider about changes or progress.</w:t>
      </w:r>
      <w:r w:rsidRPr="00FA6FBB">
        <w:rPr>
          <w:rStyle w:val="eop"/>
          <w:rFonts w:asciiTheme="minorHAnsi" w:hAnsiTheme="minorHAnsi" w:cs="Segoe UI"/>
        </w:rPr>
        <w:t> </w:t>
      </w:r>
    </w:p>
    <w:p w:rsidR="00FA6FBB" w:rsidRPr="00FA6FBB" w:rsidRDefault="00FA6FBB" w:rsidP="007374FD">
      <w:pPr>
        <w:pStyle w:val="paragraph"/>
        <w:spacing w:before="0" w:beforeAutospacing="0" w:after="0" w:afterAutospacing="0"/>
        <w:ind w:left="2160"/>
        <w:textAlignment w:val="baseline"/>
        <w:rPr>
          <w:rFonts w:asciiTheme="minorHAnsi" w:hAnsiTheme="minorHAnsi" w:cs="Segoe UI"/>
        </w:rPr>
      </w:pPr>
      <w:r w:rsidRPr="00FA6FBB">
        <w:rPr>
          <w:rStyle w:val="eop"/>
          <w:rFonts w:asciiTheme="minorHAnsi" w:hAnsiTheme="minorHAnsi" w:cs="Segoe UI"/>
        </w:rPr>
        <w:t> </w:t>
      </w:r>
    </w:p>
    <w:p w:rsidR="00FA6FBB" w:rsidRPr="00FA6FBB" w:rsidRDefault="00FA6FBB" w:rsidP="007374FD">
      <w:pPr>
        <w:pStyle w:val="paragraph"/>
        <w:spacing w:before="0" w:beforeAutospacing="0" w:after="0" w:afterAutospacing="0"/>
        <w:textAlignment w:val="baseline"/>
        <w:rPr>
          <w:rFonts w:asciiTheme="minorHAnsi" w:hAnsiTheme="minorHAnsi" w:cs="Segoe UI"/>
          <w:b/>
        </w:rPr>
      </w:pPr>
      <w:r w:rsidRPr="00FA6FBB">
        <w:rPr>
          <w:rStyle w:val="normaltextrun"/>
          <w:rFonts w:asciiTheme="minorHAnsi" w:hAnsiTheme="minorHAnsi" w:cs="Segoe UI"/>
          <w:b/>
          <w:bCs/>
        </w:rPr>
        <w:t>CENTERS FOR MEDICAID AND MEDICARE SERVICES (CMS) - DEFINITIONS</w:t>
      </w:r>
      <w:r w:rsidRPr="00FA6FBB">
        <w:rPr>
          <w:rStyle w:val="eop"/>
          <w:rFonts w:asciiTheme="minorHAnsi" w:hAnsiTheme="minorHAnsi" w:cs="Segoe UI"/>
          <w:b/>
        </w:rPr>
        <w:t> </w:t>
      </w:r>
    </w:p>
    <w:p w:rsidR="00FA6FBB" w:rsidRPr="00FA6FBB" w:rsidRDefault="00FA6FBB" w:rsidP="007374FD">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b/>
          <w:i/>
          <w:iCs/>
        </w:rPr>
        <w:t>Resident representative.</w:t>
      </w:r>
      <w:r w:rsidRPr="00FA6FBB">
        <w:rPr>
          <w:rFonts w:asciiTheme="minorHAnsi" w:hAnsiTheme="minorHAnsi" w:cs="Segoe UI"/>
          <w:i/>
          <w:iCs/>
        </w:rPr>
        <w:t xml:space="preserve"> </w:t>
      </w:r>
      <w:r w:rsidRPr="00FA6FBB">
        <w:rPr>
          <w:rFonts w:asciiTheme="minorHAnsi" w:hAnsiTheme="minorHAnsi" w:cs="Segoe UI"/>
        </w:rPr>
        <w:t>For purposes of this subpart, the term resid</w:t>
      </w:r>
      <w:r>
        <w:rPr>
          <w:rFonts w:asciiTheme="minorHAnsi" w:hAnsiTheme="minorHAnsi" w:cs="Segoe UI"/>
        </w:rPr>
        <w:t>ent representative means any of</w:t>
      </w:r>
      <w:r w:rsidRPr="00FA6FBB">
        <w:rPr>
          <w:rFonts w:asciiTheme="minorHAnsi" w:hAnsiTheme="minorHAnsi" w:cs="Segoe UI"/>
        </w:rPr>
        <w:t xml:space="preserve"> the following:</w:t>
      </w:r>
    </w:p>
    <w:p w:rsidR="00FA6FBB" w:rsidRDefault="00FA6FBB" w:rsidP="007374FD">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rPr>
        <w:t>(1) An individual chosen by the resident to act on behalf of the resident in order to support the resident in decision-making; access medical, social or other personal information of the resident; manage financial matters; or receive notifications;</w:t>
      </w:r>
    </w:p>
    <w:p w:rsidR="00FA6FBB" w:rsidRDefault="00FA6FBB" w:rsidP="007374FD">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rPr>
        <w:t xml:space="preserve"> (2) A person authorized by State or Federal law (including but not limited to agents under power of attorney, representative payees, and other fiduciaries) to act on behalf of the resident in order to support the resident in decision-making; access medical, social or other personal information of the resident; manage financial matters; or receive notifications; </w:t>
      </w:r>
    </w:p>
    <w:p w:rsidR="00FA6FBB" w:rsidRPr="00FA6FBB" w:rsidRDefault="00FA6FBB" w:rsidP="007374FD">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rPr>
        <w:t xml:space="preserve">(3) Legal representative, as used in section 712 of the Older Americans Act; or. </w:t>
      </w:r>
    </w:p>
    <w:p w:rsidR="00FA6FBB" w:rsidRPr="00FA6FBB" w:rsidRDefault="00FA6FBB" w:rsidP="007374FD">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rPr>
        <w:t xml:space="preserve">(4) The court-appointed guardian or conservator of a resident. </w:t>
      </w:r>
    </w:p>
    <w:p w:rsidR="00FA6FBB" w:rsidRPr="00FA6FBB" w:rsidRDefault="00FA6FBB" w:rsidP="007374FD">
      <w:pPr>
        <w:pStyle w:val="paragraph"/>
        <w:spacing w:before="120" w:beforeAutospacing="0" w:after="0" w:afterAutospacing="0"/>
        <w:textAlignment w:val="baseline"/>
        <w:rPr>
          <w:rFonts w:asciiTheme="minorHAnsi" w:hAnsiTheme="minorHAnsi" w:cs="Segoe UI"/>
        </w:rPr>
      </w:pPr>
      <w:r w:rsidRPr="00FA6FBB">
        <w:rPr>
          <w:rFonts w:asciiTheme="minorHAnsi" w:hAnsiTheme="minorHAnsi" w:cs="Segoe UI"/>
        </w:rPr>
        <w:t>(5) Nothing in this rule is intended to expand the scope of authority of any resident representative beyond that authority specifically authorized by the resident, State or Federal law, or a court of competent jurisdiction.</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r w:rsidRPr="00FA6FBB">
        <w:rPr>
          <w:rStyle w:val="eop"/>
          <w:rFonts w:asciiTheme="minorHAnsi" w:hAnsiTheme="minorHAnsi" w:cs="Segoe UI"/>
        </w:rPr>
        <w:lastRenderedPageBreak/>
        <w:t> </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sz w:val="28"/>
        </w:rPr>
      </w:pPr>
      <w:r w:rsidRPr="00FA6FBB">
        <w:rPr>
          <w:rFonts w:asciiTheme="minorHAnsi" w:hAnsiTheme="minorHAnsi"/>
          <w:i/>
          <w:color w:val="000000"/>
          <w:szCs w:val="23"/>
        </w:rPr>
        <w:t>“</w:t>
      </w:r>
      <w:r w:rsidRPr="00FA6FBB">
        <w:rPr>
          <w:rFonts w:asciiTheme="minorHAnsi" w:hAnsiTheme="minorHAnsi"/>
          <w:b/>
          <w:i/>
          <w:color w:val="000000"/>
          <w:szCs w:val="23"/>
        </w:rPr>
        <w:t>Anticipates</w:t>
      </w:r>
      <w:r w:rsidRPr="00FA6FBB">
        <w:rPr>
          <w:rFonts w:asciiTheme="minorHAnsi" w:hAnsiTheme="minorHAnsi"/>
          <w:i/>
          <w:color w:val="000000"/>
          <w:szCs w:val="23"/>
        </w:rPr>
        <w:t>”</w:t>
      </w:r>
      <w:r w:rsidRPr="00FA6FBB">
        <w:rPr>
          <w:rFonts w:asciiTheme="minorHAnsi" w:hAnsiTheme="minorHAnsi"/>
          <w:color w:val="000000"/>
          <w:szCs w:val="23"/>
        </w:rPr>
        <w:t xml:space="preserve"> means that the discharge was not an emergency discharge (e.g., hospitalization for an acute condition) or due to the resident’s death.</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r w:rsidRPr="00FA6FBB">
        <w:rPr>
          <w:rFonts w:asciiTheme="minorHAnsi" w:hAnsiTheme="minorHAnsi" w:cs="Arial"/>
          <w:b/>
          <w:bCs/>
          <w:i/>
          <w:color w:val="222222"/>
          <w:shd w:val="clear" w:color="auto" w:fill="FFFFFF"/>
        </w:rPr>
        <w:t>Medication reconciliation</w:t>
      </w:r>
      <w:r w:rsidRPr="00FA6FBB">
        <w:rPr>
          <w:rStyle w:val="apple-converted-space"/>
          <w:rFonts w:asciiTheme="minorHAnsi" w:hAnsiTheme="minorHAnsi" w:cs="Arial"/>
          <w:color w:val="222222"/>
          <w:shd w:val="clear" w:color="auto" w:fill="FFFFFF"/>
        </w:rPr>
        <w:t> </w:t>
      </w:r>
      <w:r w:rsidRPr="00FA6FBB">
        <w:rPr>
          <w:rFonts w:asciiTheme="minorHAnsi" w:hAnsiTheme="minorHAnsi" w:cs="Arial"/>
          <w:color w:val="222222"/>
          <w:shd w:val="clear" w:color="auto" w:fill="FFFFFF"/>
        </w:rPr>
        <w:t xml:space="preserve">is the process of creating the most accurate list possible of </w:t>
      </w:r>
      <w:r w:rsidRPr="00D265AD">
        <w:rPr>
          <w:rFonts w:asciiTheme="minorHAnsi" w:hAnsiTheme="minorHAnsi" w:cs="Arial"/>
          <w:color w:val="222222"/>
          <w:shd w:val="clear" w:color="auto" w:fill="FFFFFF"/>
        </w:rPr>
        <w:t>all</w:t>
      </w:r>
      <w:r w:rsidRPr="00D265AD">
        <w:rPr>
          <w:rStyle w:val="apple-converted-space"/>
          <w:rFonts w:asciiTheme="minorHAnsi" w:hAnsiTheme="minorHAnsi" w:cs="Arial"/>
          <w:color w:val="222222"/>
          <w:shd w:val="clear" w:color="auto" w:fill="FFFFFF"/>
        </w:rPr>
        <w:t> </w:t>
      </w:r>
      <w:r w:rsidRPr="00D265AD">
        <w:rPr>
          <w:rFonts w:asciiTheme="minorHAnsi" w:hAnsiTheme="minorHAnsi" w:cs="Arial"/>
          <w:bCs/>
          <w:color w:val="222222"/>
          <w:shd w:val="clear" w:color="auto" w:fill="FFFFFF"/>
        </w:rPr>
        <w:t>medications</w:t>
      </w:r>
      <w:r w:rsidRPr="00FA6FBB">
        <w:rPr>
          <w:rStyle w:val="apple-converted-space"/>
          <w:rFonts w:asciiTheme="minorHAnsi" w:hAnsiTheme="minorHAnsi" w:cs="Arial"/>
          <w:color w:val="222222"/>
          <w:shd w:val="clear" w:color="auto" w:fill="FFFFFF"/>
        </w:rPr>
        <w:t> </w:t>
      </w:r>
      <w:r w:rsidRPr="00FA6FBB">
        <w:rPr>
          <w:rFonts w:asciiTheme="minorHAnsi" w:hAnsiTheme="minorHAnsi" w:cs="Arial"/>
          <w:color w:val="222222"/>
          <w:shd w:val="clear" w:color="auto" w:fill="FFFFFF"/>
        </w:rPr>
        <w:t>a patient is taking — including drug name, dosage, frequency, and route — and comparing that list against the physician's admission, transfer, and/or discharge orders, with the goal of providing correct</w:t>
      </w:r>
      <w:r w:rsidRPr="00FA6FBB">
        <w:rPr>
          <w:rStyle w:val="apple-converted-space"/>
          <w:rFonts w:asciiTheme="minorHAnsi" w:hAnsiTheme="minorHAnsi" w:cs="Arial"/>
          <w:color w:val="222222"/>
          <w:shd w:val="clear" w:color="auto" w:fill="FFFFFF"/>
        </w:rPr>
        <w:t> </w:t>
      </w:r>
      <w:r w:rsidRPr="00FA6FBB">
        <w:rPr>
          <w:rFonts w:asciiTheme="minorHAnsi" w:hAnsiTheme="minorHAnsi" w:cs="Arial"/>
          <w:bCs/>
          <w:color w:val="222222"/>
          <w:shd w:val="clear" w:color="auto" w:fill="FFFFFF"/>
        </w:rPr>
        <w:t>medications</w:t>
      </w:r>
      <w:r w:rsidR="00D4498B">
        <w:rPr>
          <w:rFonts w:asciiTheme="minorHAnsi" w:hAnsiTheme="minorHAnsi" w:cs="Arial"/>
          <w:bCs/>
          <w:color w:val="222222"/>
          <w:shd w:val="clear" w:color="auto" w:fill="FFFFFF"/>
        </w:rPr>
        <w:t xml:space="preserve"> to the patient at all transition points</w:t>
      </w:r>
      <w:r w:rsidR="00D4498B" w:rsidRPr="00D4498B">
        <w:rPr>
          <w:rFonts w:asciiTheme="minorHAnsi" w:hAnsiTheme="minorHAnsi" w:cs="Arial"/>
          <w:bCs/>
          <w:color w:val="222222"/>
          <w:shd w:val="clear" w:color="auto" w:fill="FFFFFF"/>
          <w:vertAlign w:val="superscript"/>
        </w:rPr>
        <w:t>1</w:t>
      </w:r>
      <w:r w:rsidR="00D4498B">
        <w:rPr>
          <w:rFonts w:asciiTheme="minorHAnsi" w:hAnsiTheme="minorHAnsi" w:cs="Arial"/>
          <w:bCs/>
          <w:color w:val="222222"/>
          <w:shd w:val="clear" w:color="auto" w:fill="FFFFFF"/>
          <w:vertAlign w:val="superscript"/>
        </w:rPr>
        <w:t xml:space="preserve"> </w:t>
      </w:r>
      <w:r w:rsidR="00D4498B">
        <w:rPr>
          <w:rFonts w:asciiTheme="minorHAnsi" w:hAnsiTheme="minorHAnsi" w:cs="Arial"/>
          <w:bCs/>
          <w:color w:val="222222"/>
          <w:shd w:val="clear" w:color="auto" w:fill="FFFFFF"/>
        </w:rPr>
        <w:t xml:space="preserve">(Reference - Institute for Health Care Improvement Medication Reconciliation to Prevent Adverse Drug Events) </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b/>
        </w:rPr>
      </w:pPr>
      <w:r w:rsidRPr="00FA6FBB">
        <w:rPr>
          <w:rStyle w:val="normaltextrun"/>
          <w:rFonts w:asciiTheme="minorHAnsi" w:hAnsiTheme="minorHAnsi" w:cs="Segoe UI"/>
          <w:b/>
          <w:bCs/>
        </w:rPr>
        <w:t>OBJECTIVE OF THE DISCHARGE SUMMARY POLICY</w:t>
      </w:r>
      <w:r w:rsidRPr="00FA6FBB">
        <w:rPr>
          <w:rStyle w:val="eop"/>
          <w:rFonts w:asciiTheme="minorHAnsi" w:hAnsiTheme="minorHAnsi" w:cs="Segoe UI"/>
          <w:b/>
        </w:rPr>
        <w:t> </w:t>
      </w:r>
    </w:p>
    <w:p w:rsidR="00FA6FBB" w:rsidRPr="00FA6FBB" w:rsidRDefault="00FA6FBB" w:rsidP="007374FD">
      <w:pPr>
        <w:pStyle w:val="BodyText"/>
        <w:spacing w:line="240" w:lineRule="auto"/>
        <w:ind w:right="0"/>
        <w:rPr>
          <w:sz w:val="24"/>
          <w:szCs w:val="24"/>
        </w:rPr>
      </w:pPr>
      <w:r w:rsidRPr="00FA6FBB">
        <w:rPr>
          <w:sz w:val="24"/>
          <w:szCs w:val="24"/>
        </w:rPr>
        <w:t xml:space="preserve">The objective of the discharge summary policy and procedure is to provide a framework for the completion of relevant documents to be shared with post-discharge </w:t>
      </w:r>
      <w:r w:rsidR="00143D98">
        <w:rPr>
          <w:sz w:val="24"/>
          <w:szCs w:val="24"/>
        </w:rPr>
        <w:t xml:space="preserve">health care organization, </w:t>
      </w:r>
      <w:r w:rsidRPr="00FA6FBB">
        <w:rPr>
          <w:sz w:val="24"/>
          <w:szCs w:val="24"/>
        </w:rPr>
        <w:t>care providers, the resident and the care givers at home.</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b/>
        </w:rPr>
      </w:pPr>
      <w:r w:rsidRPr="00FA6FBB">
        <w:rPr>
          <w:rStyle w:val="eop"/>
          <w:rFonts w:asciiTheme="minorHAnsi" w:hAnsiTheme="minorHAnsi" w:cs="Segoe UI"/>
        </w:rPr>
        <w:t> </w:t>
      </w:r>
      <w:r w:rsidRPr="00FA6FBB">
        <w:rPr>
          <w:rStyle w:val="normaltextrun"/>
          <w:rFonts w:asciiTheme="minorHAnsi" w:hAnsiTheme="minorHAnsi" w:cs="Segoe UI"/>
          <w:b/>
          <w:bCs/>
        </w:rPr>
        <w:t>OVERVIEW OF</w:t>
      </w:r>
      <w:r w:rsidRPr="00FA6FBB">
        <w:rPr>
          <w:rStyle w:val="apple-converted-space"/>
          <w:rFonts w:asciiTheme="minorHAnsi" w:hAnsiTheme="minorHAnsi" w:cs="Segoe UI"/>
          <w:b/>
          <w:bCs/>
        </w:rPr>
        <w:t> </w:t>
      </w:r>
      <w:r w:rsidRPr="00FA6FBB">
        <w:rPr>
          <w:rStyle w:val="normaltextrun"/>
          <w:rFonts w:asciiTheme="minorHAnsi" w:hAnsiTheme="minorHAnsi" w:cs="Segoe UI"/>
          <w:b/>
          <w:bCs/>
        </w:rPr>
        <w:t>COMPONENTS </w:t>
      </w:r>
      <w:r w:rsidRPr="00FA6FBB">
        <w:rPr>
          <w:rStyle w:val="eop"/>
          <w:rFonts w:asciiTheme="minorHAnsi" w:hAnsiTheme="minorHAnsi" w:cs="Segoe UI"/>
          <w:b/>
        </w:rPr>
        <w:t>OF THE POLICY</w:t>
      </w:r>
      <w:r w:rsidR="007B5407">
        <w:rPr>
          <w:rStyle w:val="eop"/>
          <w:rFonts w:asciiTheme="minorHAnsi" w:hAnsiTheme="minorHAnsi" w:cs="Segoe UI"/>
          <w:b/>
        </w:rPr>
        <w:t xml:space="preserve"> FROM THE REGULATIONS</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autoSpaceDE w:val="0"/>
        <w:autoSpaceDN w:val="0"/>
        <w:adjustRightInd w:val="0"/>
        <w:spacing w:before="120"/>
        <w:ind w:left="90"/>
        <w:rPr>
          <w:rFonts w:asciiTheme="minorHAnsi" w:hAnsiTheme="minorHAnsi" w:cs="Melior"/>
          <w:szCs w:val="24"/>
        </w:rPr>
      </w:pPr>
      <w:r w:rsidRPr="00FA6FBB">
        <w:rPr>
          <w:rFonts w:asciiTheme="minorHAnsi" w:hAnsiTheme="minorHAnsi"/>
          <w:szCs w:val="24"/>
        </w:rPr>
        <w:t>§</w:t>
      </w:r>
      <w:r w:rsidRPr="00FA6FBB">
        <w:rPr>
          <w:rFonts w:asciiTheme="minorHAnsi" w:hAnsiTheme="minorHAnsi" w:cs="Melior"/>
          <w:szCs w:val="24"/>
        </w:rPr>
        <w:t xml:space="preserve">483.21 (2) </w:t>
      </w:r>
      <w:r w:rsidRPr="00FA6FBB">
        <w:rPr>
          <w:rFonts w:asciiTheme="minorHAnsi" w:hAnsiTheme="minorHAnsi" w:cs="Melior-Italic"/>
          <w:iCs/>
          <w:szCs w:val="24"/>
        </w:rPr>
        <w:t>Discharge summary.</w:t>
      </w:r>
      <w:r w:rsidRPr="00FA6FBB">
        <w:rPr>
          <w:rFonts w:asciiTheme="minorHAnsi" w:hAnsiTheme="minorHAnsi" w:cs="Melior-Italic"/>
          <w:i/>
          <w:iCs/>
          <w:szCs w:val="24"/>
        </w:rPr>
        <w:t xml:space="preserve"> </w:t>
      </w:r>
      <w:r w:rsidRPr="00FA6FBB">
        <w:rPr>
          <w:rFonts w:asciiTheme="minorHAnsi" w:hAnsiTheme="minorHAnsi" w:cs="Melior"/>
          <w:szCs w:val="24"/>
        </w:rPr>
        <w:t>When the facility anticipates discharge a resident must have a discharge summary that includes, but is not limited to, the following:</w:t>
      </w:r>
    </w:p>
    <w:p w:rsidR="00FA6FBB" w:rsidRPr="00FA6FBB" w:rsidRDefault="00FA6FBB" w:rsidP="007374FD">
      <w:pPr>
        <w:autoSpaceDE w:val="0"/>
        <w:autoSpaceDN w:val="0"/>
        <w:adjustRightInd w:val="0"/>
        <w:spacing w:before="120"/>
        <w:ind w:left="720"/>
        <w:rPr>
          <w:rFonts w:asciiTheme="minorHAnsi" w:hAnsiTheme="minorHAnsi" w:cs="Melior"/>
          <w:szCs w:val="24"/>
        </w:rPr>
      </w:pPr>
      <w:r w:rsidRPr="00FA6FBB">
        <w:rPr>
          <w:rFonts w:asciiTheme="minorHAnsi" w:hAnsiTheme="minorHAnsi" w:cs="Melior"/>
          <w:szCs w:val="24"/>
        </w:rPr>
        <w:t>(</w:t>
      </w:r>
      <w:proofErr w:type="spellStart"/>
      <w:r w:rsidRPr="00FA6FBB">
        <w:rPr>
          <w:rFonts w:asciiTheme="minorHAnsi" w:hAnsiTheme="minorHAnsi" w:cs="Melior"/>
          <w:szCs w:val="24"/>
        </w:rPr>
        <w:t>i</w:t>
      </w:r>
      <w:proofErr w:type="spellEnd"/>
      <w:r w:rsidRPr="00FA6FBB">
        <w:rPr>
          <w:rFonts w:asciiTheme="minorHAnsi" w:hAnsiTheme="minorHAnsi" w:cs="Melior"/>
          <w:szCs w:val="24"/>
        </w:rPr>
        <w:t>) A recapitulation of the resident’s stay that includes, but is not limited to, diagnoses, course</w:t>
      </w:r>
      <w:r w:rsidRPr="00FA6FBB">
        <w:rPr>
          <w:rFonts w:asciiTheme="minorHAnsi" w:hAnsiTheme="minorHAnsi" w:cs="Melior"/>
          <w:b/>
          <w:szCs w:val="24"/>
        </w:rPr>
        <w:t xml:space="preserve"> </w:t>
      </w:r>
      <w:r w:rsidRPr="00FA6FBB">
        <w:rPr>
          <w:rFonts w:asciiTheme="minorHAnsi" w:hAnsiTheme="minorHAnsi" w:cs="Melior"/>
          <w:szCs w:val="24"/>
        </w:rPr>
        <w:t>of illness/treatment or therapy, and pertinent lab, radiology, and consultation results.</w:t>
      </w:r>
    </w:p>
    <w:p w:rsidR="00FA6FBB" w:rsidRPr="00FA6FBB" w:rsidRDefault="00FA6FBB" w:rsidP="007374FD">
      <w:pPr>
        <w:spacing w:before="120"/>
        <w:ind w:left="720"/>
        <w:rPr>
          <w:rFonts w:asciiTheme="minorHAnsi" w:hAnsiTheme="minorHAnsi" w:cs="Melior"/>
          <w:szCs w:val="24"/>
        </w:rPr>
      </w:pPr>
      <w:r w:rsidRPr="00FA6FBB">
        <w:rPr>
          <w:rFonts w:asciiTheme="minorHAnsi" w:hAnsiTheme="minorHAnsi" w:cs="Melior"/>
          <w:szCs w:val="24"/>
        </w:rPr>
        <w:t>(ii) A final summary of the resident’s status at the time of the discharge that is available for release to authorized persons and agencies, with the consent of the resident or resident’s representative.</w:t>
      </w:r>
    </w:p>
    <w:p w:rsidR="00FA6FBB" w:rsidRPr="00FA6FBB" w:rsidRDefault="00FA6FBB" w:rsidP="007374FD">
      <w:pPr>
        <w:spacing w:before="120"/>
        <w:ind w:left="720"/>
        <w:rPr>
          <w:rFonts w:asciiTheme="minorHAnsi" w:hAnsiTheme="minorHAnsi" w:cs="Melior"/>
          <w:szCs w:val="24"/>
        </w:rPr>
      </w:pPr>
      <w:r w:rsidRPr="00FA6FBB">
        <w:rPr>
          <w:rFonts w:asciiTheme="minorHAnsi" w:hAnsiTheme="minorHAnsi" w:cs="Melior"/>
          <w:szCs w:val="24"/>
        </w:rPr>
        <w:t>(iii) Reconciliation of all pre-discharge medications with the resident’s post-discharge medications (both prescribed and over-the-counter).</w:t>
      </w:r>
    </w:p>
    <w:p w:rsidR="00FA6FBB" w:rsidRPr="00FA6FBB" w:rsidRDefault="00FA6FBB" w:rsidP="007374FD">
      <w:pPr>
        <w:spacing w:before="120"/>
        <w:ind w:left="720"/>
        <w:rPr>
          <w:rFonts w:asciiTheme="minorHAnsi" w:hAnsiTheme="minorHAnsi" w:cs="Melior"/>
          <w:b/>
          <w:szCs w:val="24"/>
        </w:rPr>
      </w:pPr>
      <w:r w:rsidRPr="00FA6FBB">
        <w:rPr>
          <w:rFonts w:asciiTheme="minorHAnsi" w:hAnsiTheme="minorHAnsi" w:cs="Melior"/>
          <w:szCs w:val="24"/>
        </w:rPr>
        <w:t>(iv) A post-discharge plan of care that is developed with the participation of the resident and, with the resident’s consent, the resident representative(s), which will assist the resident to adjust to his or her new living environment. The post-discharge plan of care must indicate where the individual plans to reside, any arrangements that have been made for the resident’s follow up care and any post-discharge medical and non-medical services.</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rPr>
          <w:rStyle w:val="normaltextrun"/>
          <w:rFonts w:asciiTheme="minorHAnsi" w:hAnsiTheme="minorHAnsi" w:cs="Segoe UI"/>
          <w:bCs/>
          <w:sz w:val="28"/>
        </w:rPr>
      </w:pPr>
      <w:r w:rsidRPr="00FA6FBB">
        <w:rPr>
          <w:rStyle w:val="normaltextrun"/>
          <w:rFonts w:asciiTheme="minorHAnsi" w:hAnsiTheme="minorHAnsi" w:cs="Segoe UI"/>
          <w:bCs/>
          <w:sz w:val="28"/>
        </w:rPr>
        <w:br w:type="page"/>
      </w:r>
    </w:p>
    <w:p w:rsidR="00FA6FBB" w:rsidRPr="00FA6FBB" w:rsidRDefault="00FA6FBB" w:rsidP="007374FD">
      <w:pPr>
        <w:rPr>
          <w:rStyle w:val="normaltextrun"/>
          <w:rFonts w:asciiTheme="minorHAnsi" w:hAnsiTheme="minorHAnsi" w:cs="Segoe UI"/>
          <w:bCs/>
          <w:sz w:val="28"/>
          <w:szCs w:val="24"/>
        </w:rPr>
      </w:pP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b/>
          <w:sz w:val="28"/>
        </w:rPr>
      </w:pPr>
      <w:r w:rsidRPr="00FA6FBB">
        <w:rPr>
          <w:rStyle w:val="normaltextrun"/>
          <w:rFonts w:asciiTheme="minorHAnsi" w:hAnsiTheme="minorHAnsi" w:cs="Segoe UI"/>
          <w:b/>
          <w:bCs/>
          <w:sz w:val="28"/>
        </w:rPr>
        <w:t xml:space="preserve">PROCEDURE FOR </w:t>
      </w:r>
      <w:r>
        <w:rPr>
          <w:rStyle w:val="eop"/>
          <w:rFonts w:asciiTheme="minorHAnsi" w:hAnsiTheme="minorHAnsi" w:cs="Segoe UI"/>
          <w:b/>
          <w:sz w:val="28"/>
        </w:rPr>
        <w:t>DISCHARGE SUMMARY</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widowControl w:val="0"/>
        <w:autoSpaceDE w:val="0"/>
        <w:autoSpaceDN w:val="0"/>
        <w:adjustRightInd w:val="0"/>
        <w:spacing w:after="240"/>
        <w:jc w:val="both"/>
        <w:rPr>
          <w:rFonts w:asciiTheme="minorHAnsi" w:hAnsiTheme="minorHAnsi"/>
          <w:b/>
          <w:color w:val="000000"/>
          <w:szCs w:val="24"/>
        </w:rPr>
      </w:pPr>
      <w:r w:rsidRPr="00FA6FBB">
        <w:rPr>
          <w:rFonts w:asciiTheme="minorHAnsi" w:hAnsiTheme="minorHAnsi"/>
          <w:b/>
          <w:color w:val="000000"/>
          <w:szCs w:val="24"/>
        </w:rPr>
        <w:t>PURPOSE</w:t>
      </w:r>
    </w:p>
    <w:p w:rsidR="00FA6FBB" w:rsidRPr="00FA6FBB" w:rsidRDefault="00FA6FBB" w:rsidP="007374FD">
      <w:pPr>
        <w:pStyle w:val="BodyText2"/>
        <w:spacing w:line="240" w:lineRule="auto"/>
        <w:ind w:right="0"/>
        <w:jc w:val="left"/>
        <w:rPr>
          <w:b w:val="0"/>
          <w:sz w:val="24"/>
          <w:szCs w:val="24"/>
        </w:rPr>
      </w:pPr>
      <w:r w:rsidRPr="00FA6FBB">
        <w:rPr>
          <w:b w:val="0"/>
          <w:sz w:val="24"/>
          <w:szCs w:val="24"/>
        </w:rPr>
        <w:t>The facility shall prepare and provide a discharge summary including a recapitulation of stay and reconciliation of pre and post-discharge medications, with the resident’s consent, with the people and agencies providing care to the resident after discharge and with the resident. The final discharge summary will include a</w:t>
      </w:r>
      <w:r w:rsidR="00143D98">
        <w:rPr>
          <w:b w:val="0"/>
          <w:sz w:val="24"/>
          <w:szCs w:val="24"/>
        </w:rPr>
        <w:t xml:space="preserve"> separate </w:t>
      </w:r>
      <w:r w:rsidRPr="00FA6FBB">
        <w:rPr>
          <w:b w:val="0"/>
          <w:sz w:val="24"/>
          <w:szCs w:val="24"/>
        </w:rPr>
        <w:t>discharge plan of care</w:t>
      </w:r>
      <w:r w:rsidR="00143D98">
        <w:rPr>
          <w:b w:val="0"/>
          <w:sz w:val="24"/>
          <w:szCs w:val="24"/>
        </w:rPr>
        <w:t xml:space="preserve"> which will assist post-discharge care providers and the resident in the transition of care process</w:t>
      </w:r>
      <w:r w:rsidRPr="00FA6FBB">
        <w:rPr>
          <w:b w:val="0"/>
          <w:sz w:val="24"/>
          <w:szCs w:val="24"/>
        </w:rPr>
        <w:t xml:space="preserve">. </w:t>
      </w:r>
      <w:r w:rsidR="007B5407">
        <w:rPr>
          <w:b w:val="0"/>
          <w:sz w:val="24"/>
          <w:szCs w:val="24"/>
        </w:rPr>
        <w:t xml:space="preserve">See the facility </w:t>
      </w:r>
      <w:r w:rsidRPr="00FA6FBB">
        <w:rPr>
          <w:b w:val="0"/>
          <w:sz w:val="24"/>
          <w:szCs w:val="24"/>
        </w:rPr>
        <w:t xml:space="preserve">Discharge Plan of Care </w:t>
      </w:r>
      <w:r w:rsidR="007B5407">
        <w:rPr>
          <w:b w:val="0"/>
          <w:sz w:val="24"/>
          <w:szCs w:val="24"/>
        </w:rPr>
        <w:t xml:space="preserve">protocols for reference. </w:t>
      </w:r>
      <w:r w:rsidR="007B5407" w:rsidRPr="007B5407">
        <w:rPr>
          <w:b w:val="0"/>
          <w:i/>
          <w:sz w:val="24"/>
          <w:szCs w:val="24"/>
        </w:rPr>
        <w:t xml:space="preserve">(insert facility specific </w:t>
      </w:r>
      <w:r w:rsidR="00143D98">
        <w:rPr>
          <w:b w:val="0"/>
          <w:i/>
          <w:sz w:val="24"/>
          <w:szCs w:val="24"/>
        </w:rPr>
        <w:t xml:space="preserve">Discharge Plan of Care </w:t>
      </w:r>
      <w:r w:rsidR="007B5407" w:rsidRPr="007B5407">
        <w:rPr>
          <w:b w:val="0"/>
          <w:i/>
          <w:sz w:val="24"/>
          <w:szCs w:val="24"/>
        </w:rPr>
        <w:t>policy information here)</w:t>
      </w:r>
      <w:r w:rsidR="007B5407">
        <w:rPr>
          <w:b w:val="0"/>
          <w:sz w:val="24"/>
          <w:szCs w:val="24"/>
        </w:rPr>
        <w:t xml:space="preserve"> </w:t>
      </w:r>
    </w:p>
    <w:p w:rsidR="00FA6FBB" w:rsidRPr="00FA6FBB" w:rsidRDefault="00FA6FBB" w:rsidP="007374FD">
      <w:pPr>
        <w:widowControl w:val="0"/>
        <w:autoSpaceDE w:val="0"/>
        <w:autoSpaceDN w:val="0"/>
        <w:adjustRightInd w:val="0"/>
        <w:spacing w:after="240"/>
        <w:jc w:val="both"/>
        <w:rPr>
          <w:rFonts w:asciiTheme="minorHAnsi" w:hAnsiTheme="minorHAnsi"/>
          <w:b/>
          <w:color w:val="000000"/>
          <w:szCs w:val="24"/>
        </w:rPr>
      </w:pPr>
      <w:r w:rsidRPr="00FA6FBB">
        <w:rPr>
          <w:rFonts w:asciiTheme="minorHAnsi" w:hAnsiTheme="minorHAnsi"/>
          <w:b/>
          <w:color w:val="000000"/>
          <w:szCs w:val="24"/>
        </w:rPr>
        <w:t>PROCEDURE</w:t>
      </w:r>
    </w:p>
    <w:p w:rsidR="00D265AD" w:rsidRDefault="00FA6FBB" w:rsidP="007374FD">
      <w:pPr>
        <w:pStyle w:val="BodyText3"/>
        <w:spacing w:line="240" w:lineRule="auto"/>
        <w:rPr>
          <w:sz w:val="24"/>
          <w:szCs w:val="24"/>
        </w:rPr>
      </w:pPr>
      <w:r w:rsidRPr="00FA6FBB">
        <w:rPr>
          <w:sz w:val="24"/>
          <w:szCs w:val="24"/>
        </w:rPr>
        <w:t xml:space="preserve">1. </w:t>
      </w:r>
      <w:r w:rsidR="007B5407">
        <w:rPr>
          <w:sz w:val="24"/>
          <w:szCs w:val="24"/>
        </w:rPr>
        <w:t>Upon decision of discharge from the facility, t</w:t>
      </w:r>
      <w:r w:rsidRPr="00FA6FBB">
        <w:rPr>
          <w:sz w:val="24"/>
          <w:szCs w:val="24"/>
        </w:rPr>
        <w:t>he interdisciplinary team (IDT) will communicate regularly with the resident and the representative about the resident’s preferences for discharge</w:t>
      </w:r>
      <w:r w:rsidR="00143D98">
        <w:rPr>
          <w:sz w:val="24"/>
          <w:szCs w:val="24"/>
        </w:rPr>
        <w:t xml:space="preserve"> and necessary steps for the appropriate transition of care</w:t>
      </w:r>
      <w:r w:rsidRPr="00FA6FBB">
        <w:rPr>
          <w:sz w:val="24"/>
          <w:szCs w:val="24"/>
        </w:rPr>
        <w:t xml:space="preserve">. </w:t>
      </w:r>
    </w:p>
    <w:p w:rsidR="00D265AD" w:rsidRDefault="00143D98" w:rsidP="007374FD">
      <w:pPr>
        <w:pStyle w:val="BodyText3"/>
        <w:numPr>
          <w:ilvl w:val="0"/>
          <w:numId w:val="30"/>
        </w:numPr>
        <w:spacing w:line="240" w:lineRule="auto"/>
        <w:rPr>
          <w:sz w:val="24"/>
          <w:szCs w:val="24"/>
        </w:rPr>
      </w:pPr>
      <w:r>
        <w:rPr>
          <w:sz w:val="24"/>
          <w:szCs w:val="24"/>
        </w:rPr>
        <w:t>C</w:t>
      </w:r>
      <w:r w:rsidR="00FA6FBB" w:rsidRPr="00FA6FBB">
        <w:rPr>
          <w:sz w:val="24"/>
          <w:szCs w:val="24"/>
        </w:rPr>
        <w:t xml:space="preserve">ommunication </w:t>
      </w:r>
      <w:r>
        <w:rPr>
          <w:sz w:val="24"/>
          <w:szCs w:val="24"/>
        </w:rPr>
        <w:t xml:space="preserve">regarding discharge plan and coordination </w:t>
      </w:r>
      <w:r w:rsidR="00FA6FBB" w:rsidRPr="00FA6FBB">
        <w:rPr>
          <w:sz w:val="24"/>
          <w:szCs w:val="24"/>
        </w:rPr>
        <w:t xml:space="preserve">will begin at the time of the resident’s admission to the facility. </w:t>
      </w:r>
    </w:p>
    <w:p w:rsidR="007374FD" w:rsidRDefault="00143D98" w:rsidP="007374FD">
      <w:pPr>
        <w:pStyle w:val="BodyText3"/>
        <w:numPr>
          <w:ilvl w:val="0"/>
          <w:numId w:val="30"/>
        </w:numPr>
        <w:spacing w:line="240" w:lineRule="auto"/>
        <w:rPr>
          <w:sz w:val="24"/>
          <w:szCs w:val="24"/>
        </w:rPr>
      </w:pPr>
      <w:r>
        <w:rPr>
          <w:sz w:val="24"/>
          <w:szCs w:val="24"/>
        </w:rPr>
        <w:t>F</w:t>
      </w:r>
      <w:r w:rsidR="00FA6FBB" w:rsidRPr="00FA6FBB">
        <w:rPr>
          <w:sz w:val="24"/>
          <w:szCs w:val="24"/>
        </w:rPr>
        <w:t xml:space="preserve">requency of ongoing communication about discharge planning will be determined by the resident’s preferences, the resident’s progress toward discharge goals and the complexity of the needed discharge plan. </w:t>
      </w:r>
    </w:p>
    <w:p w:rsidR="00FA6FBB" w:rsidRPr="00FA6FBB" w:rsidRDefault="00143D98" w:rsidP="007374FD">
      <w:pPr>
        <w:pStyle w:val="BodyText3"/>
        <w:numPr>
          <w:ilvl w:val="1"/>
          <w:numId w:val="30"/>
        </w:numPr>
        <w:spacing w:line="240" w:lineRule="auto"/>
        <w:rPr>
          <w:sz w:val="24"/>
          <w:szCs w:val="24"/>
        </w:rPr>
      </w:pPr>
      <w:r>
        <w:rPr>
          <w:sz w:val="24"/>
          <w:szCs w:val="24"/>
        </w:rPr>
        <w:t xml:space="preserve">At a minimum the individualized resident discharge plan will be reviewed during the comprehensive care plan process with the resident and resident representative. </w:t>
      </w:r>
    </w:p>
    <w:p w:rsidR="007374FD" w:rsidRDefault="00FA6FBB" w:rsidP="007374FD">
      <w:pPr>
        <w:pStyle w:val="BodyText3"/>
        <w:spacing w:before="240" w:line="240" w:lineRule="auto"/>
        <w:rPr>
          <w:rFonts w:cs="Melior"/>
          <w:sz w:val="24"/>
          <w:szCs w:val="24"/>
        </w:rPr>
      </w:pPr>
      <w:r w:rsidRPr="00FA6FBB">
        <w:rPr>
          <w:sz w:val="24"/>
          <w:szCs w:val="24"/>
        </w:rPr>
        <w:t xml:space="preserve">2. When the resident nears their discharge goals, the </w:t>
      </w:r>
      <w:r w:rsidR="00D265AD">
        <w:rPr>
          <w:sz w:val="24"/>
          <w:szCs w:val="24"/>
        </w:rPr>
        <w:t>interdisciplinary team</w:t>
      </w:r>
      <w:r w:rsidRPr="00FA6FBB">
        <w:rPr>
          <w:sz w:val="24"/>
          <w:szCs w:val="24"/>
        </w:rPr>
        <w:t xml:space="preserve"> will gather the information needed for post-discharge care and complete a discharge summary. Each member of the </w:t>
      </w:r>
      <w:r w:rsidR="00D265AD">
        <w:rPr>
          <w:sz w:val="24"/>
          <w:szCs w:val="24"/>
        </w:rPr>
        <w:t>interdisciplinary team</w:t>
      </w:r>
      <w:r w:rsidRPr="00FA6FBB">
        <w:rPr>
          <w:sz w:val="24"/>
          <w:szCs w:val="24"/>
        </w:rPr>
        <w:t xml:space="preserve"> involved in the resident’s care will contribute to the summary. </w:t>
      </w:r>
      <w:r w:rsidR="00D265AD" w:rsidRPr="00D265AD">
        <w:rPr>
          <w:b/>
          <w:i/>
          <w:sz w:val="24"/>
          <w:szCs w:val="24"/>
        </w:rPr>
        <w:t>(Insert facility specific process)</w:t>
      </w:r>
      <w:r w:rsidR="00D265AD">
        <w:rPr>
          <w:sz w:val="24"/>
          <w:szCs w:val="24"/>
        </w:rPr>
        <w:t xml:space="preserve"> </w:t>
      </w:r>
      <w:r w:rsidRPr="007374FD">
        <w:rPr>
          <w:sz w:val="24"/>
          <w:szCs w:val="24"/>
        </w:rPr>
        <w:t xml:space="preserve">The summary will </w:t>
      </w:r>
      <w:r w:rsidR="007374FD" w:rsidRPr="007374FD">
        <w:rPr>
          <w:rFonts w:cs="Melior"/>
          <w:sz w:val="24"/>
          <w:szCs w:val="24"/>
        </w:rPr>
        <w:t>include, but is not limited to, the following</w:t>
      </w:r>
      <w:r w:rsidR="007374FD">
        <w:rPr>
          <w:rFonts w:cs="Melior"/>
          <w:sz w:val="24"/>
          <w:szCs w:val="24"/>
        </w:rPr>
        <w:t xml:space="preserve"> components:</w:t>
      </w:r>
    </w:p>
    <w:p w:rsidR="007374FD" w:rsidRDefault="007374FD" w:rsidP="007374FD">
      <w:pPr>
        <w:pStyle w:val="BodyText3"/>
        <w:numPr>
          <w:ilvl w:val="0"/>
          <w:numId w:val="34"/>
        </w:numPr>
        <w:spacing w:line="240" w:lineRule="auto"/>
        <w:rPr>
          <w:sz w:val="24"/>
          <w:szCs w:val="24"/>
        </w:rPr>
      </w:pPr>
      <w:r>
        <w:rPr>
          <w:sz w:val="24"/>
          <w:szCs w:val="24"/>
        </w:rPr>
        <w:t>Reason for the transfer or discharge</w:t>
      </w:r>
    </w:p>
    <w:p w:rsidR="001F712F" w:rsidRPr="001F712F" w:rsidRDefault="001F712F" w:rsidP="007374FD">
      <w:pPr>
        <w:pStyle w:val="BodyText3"/>
        <w:numPr>
          <w:ilvl w:val="1"/>
          <w:numId w:val="34"/>
        </w:numPr>
        <w:spacing w:line="240" w:lineRule="auto"/>
        <w:rPr>
          <w:sz w:val="24"/>
          <w:szCs w:val="24"/>
        </w:rPr>
      </w:pPr>
      <w:r>
        <w:rPr>
          <w:sz w:val="24"/>
          <w:szCs w:val="24"/>
        </w:rPr>
        <w:t>Document the reason for transfer or discharge and disposition location</w:t>
      </w:r>
    </w:p>
    <w:p w:rsidR="007374FD" w:rsidRPr="001F712F" w:rsidRDefault="007374FD" w:rsidP="007374FD">
      <w:pPr>
        <w:pStyle w:val="BodyText3"/>
        <w:numPr>
          <w:ilvl w:val="1"/>
          <w:numId w:val="34"/>
        </w:numPr>
        <w:spacing w:line="240" w:lineRule="auto"/>
        <w:rPr>
          <w:sz w:val="24"/>
          <w:szCs w:val="24"/>
        </w:rPr>
      </w:pPr>
      <w:r w:rsidRPr="001F712F">
        <w:rPr>
          <w:color w:val="000000"/>
          <w:sz w:val="24"/>
          <w:szCs w:val="24"/>
        </w:rPr>
        <w:t xml:space="preserve">If the entity to which the resident </w:t>
      </w:r>
      <w:r w:rsidR="001F712F" w:rsidRPr="001F712F">
        <w:rPr>
          <w:color w:val="000000"/>
          <w:sz w:val="24"/>
          <w:szCs w:val="24"/>
        </w:rPr>
        <w:t>is being</w:t>
      </w:r>
      <w:r w:rsidRPr="001F712F">
        <w:rPr>
          <w:color w:val="000000"/>
          <w:sz w:val="24"/>
          <w:szCs w:val="24"/>
        </w:rPr>
        <w:t xml:space="preserve"> discharged is another </w:t>
      </w:r>
      <w:r w:rsidR="001F712F" w:rsidRPr="001F712F">
        <w:rPr>
          <w:color w:val="000000"/>
          <w:sz w:val="24"/>
          <w:szCs w:val="24"/>
        </w:rPr>
        <w:t xml:space="preserve">skilled nursing </w:t>
      </w:r>
      <w:r w:rsidRPr="001F712F">
        <w:rPr>
          <w:color w:val="000000"/>
          <w:sz w:val="24"/>
          <w:szCs w:val="24"/>
        </w:rPr>
        <w:t xml:space="preserve">facility, evaluate the extent to which the discharge summary and </w:t>
      </w:r>
      <w:r w:rsidRPr="001F712F">
        <w:rPr>
          <w:color w:val="000000"/>
          <w:sz w:val="24"/>
          <w:szCs w:val="24"/>
        </w:rPr>
        <w:lastRenderedPageBreak/>
        <w:t>the resident’s physician verify the discharge</w:t>
      </w:r>
    </w:p>
    <w:p w:rsidR="007374FD" w:rsidRDefault="007374FD" w:rsidP="007374FD">
      <w:pPr>
        <w:pStyle w:val="BodyText3"/>
        <w:numPr>
          <w:ilvl w:val="0"/>
          <w:numId w:val="34"/>
        </w:numPr>
        <w:spacing w:line="240" w:lineRule="auto"/>
        <w:rPr>
          <w:sz w:val="24"/>
          <w:szCs w:val="24"/>
        </w:rPr>
      </w:pPr>
      <w:r>
        <w:rPr>
          <w:sz w:val="24"/>
          <w:szCs w:val="24"/>
        </w:rPr>
        <w:t>R</w:t>
      </w:r>
      <w:r w:rsidRPr="007374FD">
        <w:rPr>
          <w:sz w:val="24"/>
          <w:szCs w:val="24"/>
        </w:rPr>
        <w:t xml:space="preserve">ecapitulation of stay which </w:t>
      </w:r>
      <w:r w:rsidRPr="007374FD">
        <w:rPr>
          <w:rFonts w:cs="Melior"/>
          <w:sz w:val="24"/>
          <w:szCs w:val="24"/>
        </w:rPr>
        <w:t>that includes, but is not limited to, the following</w:t>
      </w:r>
      <w:r w:rsidRPr="007374FD">
        <w:rPr>
          <w:sz w:val="24"/>
          <w:szCs w:val="24"/>
        </w:rPr>
        <w:t>:</w:t>
      </w:r>
      <w:r>
        <w:rPr>
          <w:sz w:val="24"/>
          <w:szCs w:val="24"/>
        </w:rPr>
        <w:t xml:space="preserve"> </w:t>
      </w:r>
    </w:p>
    <w:p w:rsidR="00FA6FBB" w:rsidRPr="00FA6FBB" w:rsidRDefault="00F80F83" w:rsidP="007374FD">
      <w:pPr>
        <w:pStyle w:val="BodyText3"/>
        <w:numPr>
          <w:ilvl w:val="1"/>
          <w:numId w:val="35"/>
        </w:numPr>
        <w:spacing w:after="120" w:line="240" w:lineRule="auto"/>
        <w:rPr>
          <w:sz w:val="24"/>
          <w:szCs w:val="24"/>
        </w:rPr>
      </w:pPr>
      <w:r>
        <w:rPr>
          <w:sz w:val="24"/>
          <w:szCs w:val="24"/>
        </w:rPr>
        <w:t>T</w:t>
      </w:r>
      <w:r w:rsidR="00FA6FBB" w:rsidRPr="00FA6FBB">
        <w:rPr>
          <w:sz w:val="24"/>
          <w:szCs w:val="24"/>
        </w:rPr>
        <w:t>he resident’s diagnoses and conditions</w:t>
      </w:r>
    </w:p>
    <w:p w:rsidR="00E21502" w:rsidRDefault="00F80F83" w:rsidP="00AF65FE">
      <w:pPr>
        <w:pStyle w:val="BodyText3"/>
        <w:numPr>
          <w:ilvl w:val="1"/>
          <w:numId w:val="35"/>
        </w:numPr>
        <w:spacing w:after="120" w:line="240" w:lineRule="auto"/>
        <w:rPr>
          <w:sz w:val="24"/>
          <w:szCs w:val="24"/>
        </w:rPr>
      </w:pPr>
      <w:r w:rsidRPr="00F80F83">
        <w:rPr>
          <w:sz w:val="24"/>
          <w:szCs w:val="24"/>
        </w:rPr>
        <w:t>T</w:t>
      </w:r>
      <w:r w:rsidR="00FA6FBB" w:rsidRPr="00F80F83">
        <w:rPr>
          <w:sz w:val="24"/>
          <w:szCs w:val="24"/>
        </w:rPr>
        <w:t xml:space="preserve">he course of their illness and </w:t>
      </w:r>
      <w:r>
        <w:rPr>
          <w:sz w:val="24"/>
          <w:szCs w:val="24"/>
        </w:rPr>
        <w:t>treatment in the facility</w:t>
      </w:r>
    </w:p>
    <w:p w:rsidR="00FA6FBB" w:rsidRPr="00F80F83" w:rsidRDefault="00E21502" w:rsidP="00E21502">
      <w:pPr>
        <w:pStyle w:val="BodyText3"/>
        <w:numPr>
          <w:ilvl w:val="2"/>
          <w:numId w:val="35"/>
        </w:numPr>
        <w:spacing w:after="120" w:line="240" w:lineRule="auto"/>
        <w:rPr>
          <w:sz w:val="24"/>
          <w:szCs w:val="24"/>
        </w:rPr>
      </w:pPr>
      <w:r>
        <w:rPr>
          <w:sz w:val="24"/>
          <w:szCs w:val="24"/>
        </w:rPr>
        <w:t>Identify follow-up care and post-discharge medical and non-medical services as identified in the Discharge Plan</w:t>
      </w:r>
      <w:r w:rsidR="00FA6FBB" w:rsidRPr="00F80F83">
        <w:rPr>
          <w:sz w:val="24"/>
          <w:szCs w:val="24"/>
        </w:rPr>
        <w:t xml:space="preserve"> </w:t>
      </w:r>
    </w:p>
    <w:p w:rsidR="00F80F83" w:rsidRDefault="00F80F83" w:rsidP="007374FD">
      <w:pPr>
        <w:pStyle w:val="BodyText3"/>
        <w:numPr>
          <w:ilvl w:val="1"/>
          <w:numId w:val="35"/>
        </w:numPr>
        <w:spacing w:after="120" w:line="240" w:lineRule="auto"/>
        <w:rPr>
          <w:sz w:val="24"/>
          <w:szCs w:val="24"/>
        </w:rPr>
      </w:pPr>
      <w:r>
        <w:rPr>
          <w:sz w:val="24"/>
          <w:szCs w:val="24"/>
        </w:rPr>
        <w:t>P</w:t>
      </w:r>
      <w:r w:rsidR="00FA6FBB" w:rsidRPr="00FA6FBB">
        <w:rPr>
          <w:sz w:val="24"/>
          <w:szCs w:val="24"/>
        </w:rPr>
        <w:t>ertinent lab</w:t>
      </w:r>
    </w:p>
    <w:p w:rsidR="00FA6FBB" w:rsidRPr="00FA6FBB" w:rsidRDefault="00F80F83" w:rsidP="007374FD">
      <w:pPr>
        <w:pStyle w:val="BodyText3"/>
        <w:numPr>
          <w:ilvl w:val="1"/>
          <w:numId w:val="35"/>
        </w:numPr>
        <w:spacing w:after="120" w:line="240" w:lineRule="auto"/>
        <w:rPr>
          <w:sz w:val="24"/>
          <w:szCs w:val="24"/>
        </w:rPr>
      </w:pPr>
      <w:r>
        <w:rPr>
          <w:sz w:val="24"/>
          <w:szCs w:val="24"/>
        </w:rPr>
        <w:t>O</w:t>
      </w:r>
      <w:r w:rsidR="00FA6FBB" w:rsidRPr="00FA6FBB">
        <w:rPr>
          <w:sz w:val="24"/>
          <w:szCs w:val="24"/>
        </w:rPr>
        <w:t xml:space="preserve">ther diagnostic test </w:t>
      </w:r>
      <w:r>
        <w:rPr>
          <w:sz w:val="24"/>
          <w:szCs w:val="24"/>
        </w:rPr>
        <w:t xml:space="preserve">and </w:t>
      </w:r>
      <w:r w:rsidR="00FA6FBB" w:rsidRPr="00FA6FBB">
        <w:rPr>
          <w:sz w:val="24"/>
          <w:szCs w:val="24"/>
        </w:rPr>
        <w:t xml:space="preserve">results </w:t>
      </w:r>
    </w:p>
    <w:p w:rsidR="007374FD" w:rsidRDefault="00F80F83" w:rsidP="007374FD">
      <w:pPr>
        <w:pStyle w:val="BodyText3"/>
        <w:numPr>
          <w:ilvl w:val="1"/>
          <w:numId w:val="35"/>
        </w:numPr>
        <w:spacing w:after="120" w:line="240" w:lineRule="auto"/>
        <w:rPr>
          <w:sz w:val="24"/>
          <w:szCs w:val="24"/>
        </w:rPr>
      </w:pPr>
      <w:r>
        <w:rPr>
          <w:sz w:val="24"/>
          <w:szCs w:val="24"/>
        </w:rPr>
        <w:t>Documented consultations</w:t>
      </w:r>
    </w:p>
    <w:p w:rsidR="00F80F83" w:rsidRDefault="00F80F83" w:rsidP="007374FD">
      <w:pPr>
        <w:pStyle w:val="BodyText3"/>
        <w:numPr>
          <w:ilvl w:val="1"/>
          <w:numId w:val="35"/>
        </w:numPr>
        <w:spacing w:after="120" w:line="240" w:lineRule="auto"/>
        <w:rPr>
          <w:sz w:val="24"/>
          <w:szCs w:val="24"/>
        </w:rPr>
      </w:pPr>
      <w:r>
        <w:rPr>
          <w:sz w:val="24"/>
          <w:szCs w:val="24"/>
        </w:rPr>
        <w:t>Physician verification for discharge and/or transfer</w:t>
      </w:r>
    </w:p>
    <w:p w:rsidR="00E21502" w:rsidRDefault="00E21502" w:rsidP="007374FD">
      <w:pPr>
        <w:pStyle w:val="BodyText3"/>
        <w:numPr>
          <w:ilvl w:val="1"/>
          <w:numId w:val="35"/>
        </w:numPr>
        <w:spacing w:after="120" w:line="240" w:lineRule="auto"/>
        <w:rPr>
          <w:sz w:val="24"/>
          <w:szCs w:val="24"/>
        </w:rPr>
      </w:pPr>
      <w:r>
        <w:rPr>
          <w:sz w:val="24"/>
          <w:szCs w:val="24"/>
        </w:rPr>
        <w:t>If a return to the community, identify if the resident trigged the CAA for return to community referral</w:t>
      </w:r>
    </w:p>
    <w:p w:rsidR="00F80F83" w:rsidRDefault="00F80F83" w:rsidP="007374FD">
      <w:pPr>
        <w:pStyle w:val="BodyText3"/>
        <w:numPr>
          <w:ilvl w:val="1"/>
          <w:numId w:val="35"/>
        </w:numPr>
        <w:spacing w:after="120" w:line="240" w:lineRule="auto"/>
        <w:rPr>
          <w:sz w:val="24"/>
          <w:szCs w:val="24"/>
        </w:rPr>
      </w:pPr>
      <w:r>
        <w:rPr>
          <w:sz w:val="24"/>
          <w:szCs w:val="24"/>
        </w:rPr>
        <w:t>Other pertinent information for continuing care, which includes:</w:t>
      </w:r>
    </w:p>
    <w:p w:rsidR="00F80F83" w:rsidRPr="007176A0" w:rsidRDefault="00F80F83" w:rsidP="00F80F83">
      <w:pPr>
        <w:pStyle w:val="BodyText3"/>
        <w:numPr>
          <w:ilvl w:val="2"/>
          <w:numId w:val="35"/>
        </w:numPr>
        <w:spacing w:after="120" w:line="240" w:lineRule="auto"/>
        <w:rPr>
          <w:b/>
          <w:i/>
          <w:sz w:val="24"/>
          <w:szCs w:val="24"/>
        </w:rPr>
      </w:pPr>
      <w:r w:rsidRPr="007176A0">
        <w:rPr>
          <w:b/>
          <w:i/>
          <w:sz w:val="24"/>
          <w:szCs w:val="24"/>
        </w:rPr>
        <w:t>(Insert facility specific information listed here</w:t>
      </w:r>
      <w:r w:rsidR="007176A0">
        <w:rPr>
          <w:b/>
          <w:i/>
          <w:sz w:val="24"/>
          <w:szCs w:val="24"/>
        </w:rPr>
        <w:t xml:space="preserve"> based upon facility Discharge Summary tool</w:t>
      </w:r>
      <w:r w:rsidRPr="007176A0">
        <w:rPr>
          <w:b/>
          <w:i/>
          <w:sz w:val="24"/>
          <w:szCs w:val="24"/>
        </w:rPr>
        <w:t xml:space="preserve">) </w:t>
      </w:r>
    </w:p>
    <w:p w:rsidR="00F80F83" w:rsidRPr="00F80F83" w:rsidRDefault="00F80F83" w:rsidP="00F80F83">
      <w:pPr>
        <w:pStyle w:val="BodyText3"/>
        <w:numPr>
          <w:ilvl w:val="2"/>
          <w:numId w:val="35"/>
        </w:numPr>
        <w:spacing w:after="120" w:line="240" w:lineRule="auto"/>
        <w:rPr>
          <w:i/>
          <w:sz w:val="24"/>
          <w:szCs w:val="24"/>
        </w:rPr>
      </w:pPr>
    </w:p>
    <w:p w:rsidR="00FA6FBB" w:rsidRPr="007374FD" w:rsidRDefault="00FA6FBB" w:rsidP="007374FD">
      <w:pPr>
        <w:pStyle w:val="BodyText3"/>
        <w:numPr>
          <w:ilvl w:val="0"/>
          <w:numId w:val="34"/>
        </w:numPr>
        <w:spacing w:after="120" w:line="240" w:lineRule="auto"/>
        <w:rPr>
          <w:sz w:val="24"/>
          <w:szCs w:val="24"/>
        </w:rPr>
      </w:pPr>
      <w:r w:rsidRPr="007374FD">
        <w:rPr>
          <w:sz w:val="24"/>
          <w:szCs w:val="24"/>
        </w:rPr>
        <w:t xml:space="preserve">Medication reconciliation will be completed comparing pre-discharge and post-discharge medications, including over the counter and prescribed medications. </w:t>
      </w:r>
    </w:p>
    <w:p w:rsidR="007176A0" w:rsidRDefault="007176A0" w:rsidP="007374FD">
      <w:pPr>
        <w:pStyle w:val="BodyText3"/>
        <w:numPr>
          <w:ilvl w:val="0"/>
          <w:numId w:val="37"/>
        </w:numPr>
        <w:spacing w:after="120" w:line="240" w:lineRule="auto"/>
        <w:rPr>
          <w:sz w:val="24"/>
          <w:szCs w:val="24"/>
        </w:rPr>
      </w:pPr>
      <w:r>
        <w:rPr>
          <w:sz w:val="24"/>
          <w:szCs w:val="24"/>
        </w:rPr>
        <w:t>Provide listing of medications per order, correlating diagnosis and education as indicated</w:t>
      </w:r>
    </w:p>
    <w:p w:rsidR="00FA6FBB" w:rsidRPr="00FA6FBB" w:rsidRDefault="00FA6FBB" w:rsidP="007374FD">
      <w:pPr>
        <w:pStyle w:val="BodyText3"/>
        <w:numPr>
          <w:ilvl w:val="0"/>
          <w:numId w:val="37"/>
        </w:numPr>
        <w:spacing w:after="120" w:line="240" w:lineRule="auto"/>
        <w:rPr>
          <w:sz w:val="24"/>
          <w:szCs w:val="24"/>
        </w:rPr>
      </w:pPr>
      <w:r w:rsidRPr="00FA6FBB">
        <w:rPr>
          <w:sz w:val="24"/>
          <w:szCs w:val="24"/>
        </w:rPr>
        <w:t>Notify the attending provider for clarification of medication orders if there are discrepancies identified in the reconciliation, prior to releasing post-discharge medication information.</w:t>
      </w:r>
    </w:p>
    <w:p w:rsidR="00FA6FBB" w:rsidRPr="00FA6FBB" w:rsidRDefault="00FA6FBB" w:rsidP="007374FD">
      <w:pPr>
        <w:pStyle w:val="BodyText3"/>
        <w:spacing w:after="120" w:line="240" w:lineRule="auto"/>
        <w:rPr>
          <w:sz w:val="24"/>
          <w:szCs w:val="24"/>
        </w:rPr>
      </w:pPr>
    </w:p>
    <w:p w:rsidR="00FA6FBB" w:rsidRPr="00FA6FBB" w:rsidRDefault="00FA6FBB" w:rsidP="007374FD">
      <w:pPr>
        <w:pStyle w:val="BodyText3"/>
        <w:spacing w:after="120" w:line="240" w:lineRule="auto"/>
        <w:rPr>
          <w:i/>
          <w:sz w:val="24"/>
          <w:szCs w:val="24"/>
        </w:rPr>
      </w:pPr>
      <w:r w:rsidRPr="00FA6FBB">
        <w:rPr>
          <w:i/>
          <w:sz w:val="24"/>
          <w:szCs w:val="24"/>
        </w:rPr>
        <w:t xml:space="preserve">4. </w:t>
      </w:r>
      <w:r w:rsidRPr="00D265AD">
        <w:rPr>
          <w:b/>
          <w:i/>
          <w:sz w:val="24"/>
          <w:szCs w:val="24"/>
        </w:rPr>
        <w:t>Insert steps</w:t>
      </w:r>
      <w:r w:rsidRPr="00FA6FBB">
        <w:rPr>
          <w:i/>
          <w:sz w:val="24"/>
          <w:szCs w:val="24"/>
        </w:rPr>
        <w:t xml:space="preserve"> for accessing and using the facility’s electronic health record software as part of the discharge summary </w:t>
      </w:r>
    </w:p>
    <w:p w:rsidR="00E21502" w:rsidRDefault="00FA6FBB" w:rsidP="007374FD">
      <w:pPr>
        <w:pStyle w:val="BodyText3"/>
        <w:spacing w:after="120" w:line="240" w:lineRule="auto"/>
        <w:rPr>
          <w:sz w:val="24"/>
          <w:szCs w:val="24"/>
        </w:rPr>
      </w:pPr>
      <w:r w:rsidRPr="00FA6FBB">
        <w:rPr>
          <w:sz w:val="24"/>
          <w:szCs w:val="24"/>
        </w:rPr>
        <w:t xml:space="preserve">5. The final discharge summary will be completed and ready to release to post-discharge care providers and the resident before the day of discharge. </w:t>
      </w:r>
    </w:p>
    <w:p w:rsidR="00FA6FBB" w:rsidRPr="00FA6FBB" w:rsidRDefault="00FA6FBB" w:rsidP="00E21502">
      <w:pPr>
        <w:pStyle w:val="BodyText3"/>
        <w:numPr>
          <w:ilvl w:val="1"/>
          <w:numId w:val="38"/>
        </w:numPr>
        <w:spacing w:after="120" w:line="240" w:lineRule="auto"/>
        <w:rPr>
          <w:sz w:val="24"/>
          <w:szCs w:val="24"/>
        </w:rPr>
      </w:pPr>
      <w:r w:rsidRPr="00FA6FBB">
        <w:rPr>
          <w:sz w:val="24"/>
          <w:szCs w:val="24"/>
        </w:rPr>
        <w:t>Share the discharge summary with the community physician who will be caring for the resident after discharge as well as agencies and other providers as needed.</w:t>
      </w:r>
    </w:p>
    <w:p w:rsidR="00FA6FBB" w:rsidRPr="00FA6FBB" w:rsidRDefault="00FA6FBB" w:rsidP="00E21502">
      <w:pPr>
        <w:pStyle w:val="BodyText3"/>
        <w:numPr>
          <w:ilvl w:val="1"/>
          <w:numId w:val="38"/>
        </w:numPr>
        <w:spacing w:after="120" w:line="240" w:lineRule="auto"/>
        <w:rPr>
          <w:sz w:val="24"/>
          <w:szCs w:val="24"/>
        </w:rPr>
      </w:pPr>
      <w:r w:rsidRPr="00FA6FBB">
        <w:rPr>
          <w:sz w:val="24"/>
          <w:szCs w:val="24"/>
        </w:rPr>
        <w:t>The resident will consent to release of the final discharge summary to post-</w:t>
      </w:r>
      <w:r w:rsidRPr="00FA6FBB">
        <w:rPr>
          <w:sz w:val="24"/>
          <w:szCs w:val="24"/>
        </w:rPr>
        <w:lastRenderedPageBreak/>
        <w:t>discharge care givers.</w:t>
      </w:r>
    </w:p>
    <w:p w:rsidR="00E21502" w:rsidRDefault="00FA6FBB" w:rsidP="00E21502">
      <w:pPr>
        <w:pStyle w:val="BodyText3"/>
        <w:numPr>
          <w:ilvl w:val="1"/>
          <w:numId w:val="38"/>
        </w:numPr>
        <w:spacing w:after="120" w:line="240" w:lineRule="auto"/>
        <w:rPr>
          <w:sz w:val="24"/>
          <w:szCs w:val="24"/>
        </w:rPr>
      </w:pPr>
      <w:r w:rsidRPr="00FA6FBB">
        <w:rPr>
          <w:sz w:val="24"/>
          <w:szCs w:val="24"/>
        </w:rPr>
        <w:t>Document the resident’s consent in the medical record</w:t>
      </w:r>
    </w:p>
    <w:p w:rsidR="00FA6FBB" w:rsidRPr="00E21502" w:rsidRDefault="00FA6FBB" w:rsidP="00E21502">
      <w:pPr>
        <w:pStyle w:val="BodyText3"/>
        <w:numPr>
          <w:ilvl w:val="1"/>
          <w:numId w:val="38"/>
        </w:numPr>
        <w:spacing w:after="120" w:line="240" w:lineRule="auto"/>
        <w:rPr>
          <w:sz w:val="24"/>
          <w:szCs w:val="24"/>
        </w:rPr>
      </w:pPr>
      <w:r w:rsidRPr="00E21502">
        <w:rPr>
          <w:sz w:val="24"/>
          <w:szCs w:val="24"/>
        </w:rPr>
        <w:t xml:space="preserve">Record the documents released to post-discharge care providers and the date of release. </w:t>
      </w:r>
    </w:p>
    <w:p w:rsidR="00FA6FBB" w:rsidRPr="00FA6FBB" w:rsidRDefault="00E21502" w:rsidP="007374FD">
      <w:pPr>
        <w:pStyle w:val="BodyText3"/>
        <w:spacing w:after="120" w:line="240" w:lineRule="auto"/>
        <w:rPr>
          <w:sz w:val="24"/>
          <w:szCs w:val="24"/>
        </w:rPr>
      </w:pPr>
      <w:r>
        <w:rPr>
          <w:sz w:val="24"/>
          <w:szCs w:val="24"/>
        </w:rPr>
        <w:t>6</w:t>
      </w:r>
      <w:r w:rsidR="00FA6FBB" w:rsidRPr="00FA6FBB">
        <w:rPr>
          <w:sz w:val="24"/>
          <w:szCs w:val="24"/>
        </w:rPr>
        <w:t>. Retain the discharge summary in the resident’s medical record.</w:t>
      </w:r>
    </w:p>
    <w:p w:rsidR="00FA6FBB" w:rsidRPr="00FA6FBB" w:rsidRDefault="00FA6FBB" w:rsidP="007374FD">
      <w:pPr>
        <w:pStyle w:val="paragraph"/>
        <w:spacing w:before="0" w:beforeAutospacing="0" w:after="0" w:afterAutospacing="0"/>
        <w:ind w:firstLine="720"/>
        <w:textAlignment w:val="baseline"/>
        <w:rPr>
          <w:rStyle w:val="normaltextrun"/>
          <w:rFonts w:asciiTheme="minorHAnsi" w:hAnsiTheme="minorHAnsi" w:cs="Segoe UI"/>
          <w:bCs/>
        </w:rPr>
      </w:pPr>
    </w:p>
    <w:p w:rsidR="00FA6FBB" w:rsidRPr="00FA6FBB" w:rsidRDefault="00FA6FBB" w:rsidP="007374FD">
      <w:pPr>
        <w:pStyle w:val="paragraph"/>
        <w:spacing w:before="0" w:beforeAutospacing="0" w:after="0" w:afterAutospacing="0"/>
        <w:ind w:firstLine="720"/>
        <w:textAlignment w:val="baseline"/>
        <w:rPr>
          <w:rStyle w:val="normaltextrun"/>
          <w:rFonts w:asciiTheme="minorHAnsi" w:hAnsiTheme="minorHAnsi" w:cs="Segoe UI"/>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CD73F9" w:rsidRDefault="00CD73F9" w:rsidP="007374FD">
      <w:pPr>
        <w:pStyle w:val="paragraph"/>
        <w:spacing w:before="0" w:beforeAutospacing="0" w:after="0" w:afterAutospacing="0"/>
        <w:textAlignment w:val="baseline"/>
        <w:rPr>
          <w:rStyle w:val="normaltextrun"/>
          <w:rFonts w:asciiTheme="minorHAnsi" w:hAnsiTheme="minorHAnsi" w:cs="Segoe UI"/>
          <w:b/>
          <w:bCs/>
        </w:rPr>
      </w:pPr>
    </w:p>
    <w:p w:rsidR="00FA6FBB" w:rsidRPr="00F80F83" w:rsidRDefault="00FA6FBB" w:rsidP="007374FD">
      <w:pPr>
        <w:pStyle w:val="paragraph"/>
        <w:spacing w:before="0" w:beforeAutospacing="0" w:after="0" w:afterAutospacing="0"/>
        <w:textAlignment w:val="baseline"/>
        <w:rPr>
          <w:rFonts w:asciiTheme="minorHAnsi" w:hAnsiTheme="minorHAnsi" w:cs="Segoe UI"/>
          <w:b/>
        </w:rPr>
      </w:pPr>
      <w:bookmarkStart w:id="0" w:name="_GoBack"/>
      <w:bookmarkEnd w:id="0"/>
      <w:r w:rsidRPr="00F80F83">
        <w:rPr>
          <w:rStyle w:val="normaltextrun"/>
          <w:rFonts w:asciiTheme="minorHAnsi" w:hAnsiTheme="minorHAnsi" w:cs="Segoe UI"/>
          <w:b/>
          <w:bCs/>
        </w:rPr>
        <w:lastRenderedPageBreak/>
        <w:t>REFERENCES</w:t>
      </w:r>
      <w:r w:rsidRPr="00F80F83">
        <w:rPr>
          <w:rStyle w:val="eop"/>
          <w:rFonts w:asciiTheme="minorHAnsi" w:hAnsiTheme="minorHAnsi" w:cs="Segoe UI"/>
          <w:b/>
        </w:rPr>
        <w:t> </w:t>
      </w:r>
    </w:p>
    <w:p w:rsidR="00FA6FBB" w:rsidRPr="00FA6FBB" w:rsidRDefault="00FA6FBB" w:rsidP="007374FD">
      <w:pPr>
        <w:pStyle w:val="paragraph"/>
        <w:spacing w:before="0" w:beforeAutospacing="0" w:after="0" w:afterAutospacing="0"/>
        <w:textAlignment w:val="baseline"/>
        <w:rPr>
          <w:rFonts w:asciiTheme="minorHAnsi" w:hAnsiTheme="minorHAnsi" w:cs="Segoe UI"/>
        </w:rPr>
      </w:pPr>
      <w:r w:rsidRPr="00FA6FBB">
        <w:rPr>
          <w:rStyle w:val="eop"/>
          <w:rFonts w:asciiTheme="minorHAnsi" w:hAnsiTheme="minorHAnsi" w:cs="Segoe UI"/>
        </w:rPr>
        <w:t> </w:t>
      </w:r>
    </w:p>
    <w:p w:rsidR="00FA6FBB" w:rsidRPr="00FA6FBB" w:rsidRDefault="00FA6FBB" w:rsidP="007374FD">
      <w:pPr>
        <w:pStyle w:val="paragraph"/>
        <w:spacing w:before="0" w:beforeAutospacing="0" w:after="0" w:afterAutospacing="0"/>
        <w:textAlignment w:val="baseline"/>
        <w:rPr>
          <w:rFonts w:asciiTheme="minorHAnsi" w:hAnsiTheme="minorHAnsi" w:cs="Segoe UI"/>
        </w:rPr>
      </w:pPr>
      <w:r w:rsidRPr="00FA6FBB">
        <w:rPr>
          <w:rStyle w:val="normaltextrun"/>
          <w:rFonts w:asciiTheme="minorHAnsi" w:hAnsiTheme="minorHAnsi" w:cs="Segoe UI"/>
        </w:rPr>
        <w:t>Medicare and Medicaid Programs; Reform of Requirements for Long-Term Care Facilities</w:t>
      </w:r>
      <w:r w:rsidRPr="00FA6FBB">
        <w:rPr>
          <w:rStyle w:val="apple-converted-space"/>
          <w:rFonts w:asciiTheme="minorHAnsi" w:hAnsiTheme="minorHAnsi" w:cs="Segoe UI"/>
        </w:rPr>
        <w:t> </w:t>
      </w:r>
      <w:r w:rsidRPr="00FA6FBB">
        <w:rPr>
          <w:rStyle w:val="normaltextrun"/>
          <w:rFonts w:asciiTheme="minorHAnsi" w:hAnsiTheme="minorHAnsi" w:cs="Segoe UI"/>
        </w:rPr>
        <w:t>10/04/16:</w:t>
      </w:r>
      <w:r w:rsidRPr="00FA6FBB">
        <w:rPr>
          <w:rStyle w:val="eop"/>
          <w:rFonts w:asciiTheme="minorHAnsi" w:hAnsiTheme="minorHAnsi" w:cs="Segoe UI"/>
        </w:rPr>
        <w:t> </w:t>
      </w:r>
    </w:p>
    <w:p w:rsidR="00FA6FBB" w:rsidRPr="00FA6FBB" w:rsidRDefault="00CD73F9" w:rsidP="007374FD">
      <w:pPr>
        <w:pStyle w:val="paragraph"/>
        <w:numPr>
          <w:ilvl w:val="0"/>
          <w:numId w:val="26"/>
        </w:numPr>
        <w:spacing w:before="0" w:beforeAutospacing="0" w:after="0" w:afterAutospacing="0"/>
        <w:ind w:left="360" w:firstLine="0"/>
        <w:textAlignment w:val="baseline"/>
        <w:rPr>
          <w:rFonts w:asciiTheme="minorHAnsi" w:hAnsiTheme="minorHAnsi" w:cs="Segoe UI"/>
        </w:rPr>
      </w:pPr>
      <w:hyperlink r:id="rId9" w:tgtFrame="_blank" w:history="1">
        <w:r w:rsidR="00FA6FBB" w:rsidRPr="00FA6FBB">
          <w:rPr>
            <w:rStyle w:val="normaltextrun"/>
            <w:rFonts w:asciiTheme="minorHAnsi" w:hAnsiTheme="minorHAnsi" w:cs="Segoe UI"/>
            <w:color w:val="0563C1"/>
            <w:u w:val="single"/>
          </w:rPr>
          <w:t>https://www.federalregister.gov/documents/2016/10/04/2016-23503/medicare-and-medicaid-programs-reform-of-requirements-for-long-term-care-facilities</w:t>
        </w:r>
      </w:hyperlink>
      <w:r w:rsidR="00FA6FBB" w:rsidRPr="00FA6FBB">
        <w:rPr>
          <w:rStyle w:val="normaltextrun"/>
          <w:rFonts w:asciiTheme="minorHAnsi" w:hAnsiTheme="minorHAnsi" w:cs="Segoe UI"/>
        </w:rPr>
        <w:t> </w:t>
      </w:r>
      <w:r w:rsidR="00FA6FBB" w:rsidRPr="00FA6FBB">
        <w:rPr>
          <w:rStyle w:val="eop"/>
          <w:rFonts w:asciiTheme="minorHAnsi" w:hAnsiTheme="minorHAnsi" w:cs="Segoe UI"/>
        </w:rPr>
        <w:t> </w:t>
      </w:r>
    </w:p>
    <w:p w:rsidR="00FA6FBB" w:rsidRPr="00FA6FBB" w:rsidRDefault="00FA6FBB" w:rsidP="007374FD">
      <w:pPr>
        <w:pStyle w:val="paragraph"/>
        <w:spacing w:before="0" w:beforeAutospacing="0" w:after="0" w:afterAutospacing="0"/>
        <w:textAlignment w:val="baseline"/>
        <w:rPr>
          <w:rFonts w:asciiTheme="minorHAnsi" w:hAnsiTheme="minorHAnsi" w:cs="Segoe UI"/>
        </w:rPr>
      </w:pPr>
      <w:r w:rsidRPr="00FA6FBB">
        <w:rPr>
          <w:rStyle w:val="eop"/>
          <w:rFonts w:asciiTheme="minorHAnsi" w:hAnsiTheme="minorHAnsi" w:cs="Segoe UI"/>
        </w:rPr>
        <w:t> </w:t>
      </w:r>
    </w:p>
    <w:p w:rsidR="00FA6FBB" w:rsidRPr="00FA6FBB" w:rsidRDefault="00FA6FBB" w:rsidP="007374FD">
      <w:pPr>
        <w:pStyle w:val="paragraph"/>
        <w:spacing w:before="0" w:beforeAutospacing="0" w:after="0" w:afterAutospacing="0"/>
        <w:textAlignment w:val="baseline"/>
        <w:rPr>
          <w:rFonts w:asciiTheme="minorHAnsi" w:hAnsiTheme="minorHAnsi" w:cs="Segoe UI"/>
        </w:rPr>
      </w:pPr>
      <w:r w:rsidRPr="00FA6FBB">
        <w:rPr>
          <w:rStyle w:val="normaltextrun"/>
          <w:rFonts w:asciiTheme="minorHAnsi" w:hAnsiTheme="minorHAnsi" w:cs="Segoe UI"/>
        </w:rPr>
        <w:t>CMS Memo Ref:  S&amp;C 17-07-NH:  Advance Copy – Revisions to State Operations Manual (SOM), Appendix PP- Revised Regulations and Tags, 11/09/16:  </w:t>
      </w:r>
      <w:r w:rsidRPr="00FA6FBB">
        <w:rPr>
          <w:rStyle w:val="eop"/>
          <w:rFonts w:asciiTheme="minorHAnsi" w:hAnsiTheme="minorHAnsi" w:cs="Segoe UI"/>
        </w:rPr>
        <w:t> </w:t>
      </w:r>
    </w:p>
    <w:p w:rsidR="00FA6FBB" w:rsidRPr="00FA6FBB" w:rsidRDefault="00CD73F9" w:rsidP="007374FD">
      <w:pPr>
        <w:pStyle w:val="paragraph"/>
        <w:numPr>
          <w:ilvl w:val="0"/>
          <w:numId w:val="28"/>
        </w:numPr>
        <w:spacing w:before="0" w:beforeAutospacing="0" w:after="0" w:afterAutospacing="0"/>
        <w:ind w:left="360" w:firstLine="0"/>
        <w:textAlignment w:val="baseline"/>
        <w:rPr>
          <w:rStyle w:val="eop"/>
          <w:rFonts w:asciiTheme="minorHAnsi" w:hAnsiTheme="minorHAnsi" w:cs="Segoe UI"/>
        </w:rPr>
      </w:pPr>
      <w:hyperlink r:id="rId10" w:tgtFrame="_blank" w:history="1">
        <w:r w:rsidR="00FA6FBB" w:rsidRPr="00FA6FBB">
          <w:rPr>
            <w:rStyle w:val="normaltextrun"/>
            <w:rFonts w:asciiTheme="minorHAnsi" w:hAnsiTheme="minorHAnsi" w:cs="Segoe UI"/>
            <w:color w:val="0563C1"/>
            <w:u w:val="single"/>
          </w:rPr>
          <w:t>https://www.cms.gov/Medicare/Provider-Enrollment-and-Certification/SurveyCertificationGenInfo/Downloads/Survey-and-Cert-Letter-17-07.pdf</w:t>
        </w:r>
      </w:hyperlink>
      <w:r w:rsidR="00FA6FBB" w:rsidRPr="00FA6FBB">
        <w:rPr>
          <w:rStyle w:val="normaltextrun"/>
          <w:rFonts w:asciiTheme="minorHAnsi" w:hAnsiTheme="minorHAnsi" w:cs="Segoe UI"/>
        </w:rPr>
        <w:t> </w:t>
      </w:r>
      <w:r w:rsidR="00FA6FBB" w:rsidRPr="00FA6FBB">
        <w:rPr>
          <w:rStyle w:val="eop"/>
          <w:rFonts w:asciiTheme="minorHAnsi" w:hAnsiTheme="minorHAnsi" w:cs="Segoe UI"/>
        </w:rPr>
        <w:t> </w:t>
      </w:r>
    </w:p>
    <w:p w:rsidR="00FA6FBB" w:rsidRPr="00FA6FBB" w:rsidRDefault="00FA6FBB" w:rsidP="007374FD">
      <w:pPr>
        <w:pStyle w:val="paragraph"/>
        <w:spacing w:before="0" w:beforeAutospacing="0" w:after="0" w:afterAutospacing="0"/>
        <w:textAlignment w:val="baseline"/>
        <w:rPr>
          <w:rStyle w:val="eop"/>
          <w:rFonts w:asciiTheme="minorHAnsi" w:hAnsiTheme="minorHAnsi" w:cs="Segoe UI"/>
        </w:rPr>
      </w:pPr>
    </w:p>
    <w:p w:rsidR="00FA6FBB" w:rsidRPr="00FA6FBB" w:rsidRDefault="00FA6FBB" w:rsidP="007374FD">
      <w:pPr>
        <w:pStyle w:val="paragraph"/>
        <w:spacing w:before="0" w:beforeAutospacing="0" w:after="0" w:afterAutospacing="0"/>
        <w:textAlignment w:val="baseline"/>
        <w:rPr>
          <w:rFonts w:asciiTheme="minorHAnsi" w:hAnsiTheme="minorHAnsi" w:cs="Arial"/>
          <w:shd w:val="clear" w:color="auto" w:fill="FFFFFF"/>
        </w:rPr>
      </w:pPr>
      <w:r w:rsidRPr="00FA6FBB">
        <w:rPr>
          <w:rFonts w:asciiTheme="minorHAnsi" w:hAnsiTheme="minorHAnsi" w:cs="Arial"/>
          <w:shd w:val="clear" w:color="auto" w:fill="FFFFFF"/>
        </w:rPr>
        <w:t>Institute for Healthcare Improvement: Medication Reconciliation to Prevent Adverse Drug Events</w:t>
      </w:r>
    </w:p>
    <w:p w:rsidR="00FA6FBB" w:rsidRDefault="00CD73F9" w:rsidP="007374FD">
      <w:pPr>
        <w:pStyle w:val="paragraph"/>
        <w:numPr>
          <w:ilvl w:val="0"/>
          <w:numId w:val="29"/>
        </w:numPr>
        <w:spacing w:before="0" w:beforeAutospacing="0" w:after="0" w:afterAutospacing="0"/>
        <w:textAlignment w:val="baseline"/>
        <w:rPr>
          <w:rFonts w:asciiTheme="minorHAnsi" w:hAnsiTheme="minorHAnsi" w:cs="Segoe UI"/>
          <w:color w:val="8496B0" w:themeColor="text2" w:themeTint="99"/>
          <w:u w:val="single"/>
        </w:rPr>
      </w:pPr>
      <w:hyperlink r:id="rId11" w:history="1">
        <w:r w:rsidR="00FA6FBB" w:rsidRPr="00BA408B">
          <w:rPr>
            <w:rStyle w:val="Hyperlink"/>
            <w:rFonts w:asciiTheme="minorHAnsi" w:hAnsiTheme="minorHAnsi" w:cs="Segoe UI"/>
          </w:rPr>
          <w:t>http://www.ihi.org/topics/adesmedicationreconciliation/Pages/default.aspx</w:t>
        </w:r>
      </w:hyperlink>
    </w:p>
    <w:p w:rsidR="00FA6FBB" w:rsidRPr="00FA6FBB" w:rsidRDefault="00FA6FBB" w:rsidP="007374FD">
      <w:pPr>
        <w:pStyle w:val="paragraph"/>
        <w:spacing w:before="0" w:beforeAutospacing="0" w:after="0" w:afterAutospacing="0"/>
        <w:textAlignment w:val="baseline"/>
        <w:rPr>
          <w:rFonts w:asciiTheme="minorHAnsi" w:hAnsiTheme="minorHAnsi" w:cs="Segoe UI"/>
          <w:color w:val="8496B0" w:themeColor="text2" w:themeTint="99"/>
          <w:u w:val="single"/>
        </w:rPr>
      </w:pPr>
    </w:p>
    <w:p w:rsidR="009801BB" w:rsidRDefault="009801BB" w:rsidP="007374FD">
      <w:pPr>
        <w:rPr>
          <w:rFonts w:asciiTheme="minorHAnsi" w:hAnsiTheme="minorHAnsi"/>
          <w:sz w:val="20"/>
        </w:rPr>
      </w:pPr>
    </w:p>
    <w:p w:rsidR="004546D1" w:rsidRPr="004546D1" w:rsidRDefault="004546D1" w:rsidP="009801BB">
      <w:pPr>
        <w:pStyle w:val="paragraph"/>
        <w:spacing w:before="0" w:beforeAutospacing="0" w:after="0" w:afterAutospacing="0"/>
        <w:jc w:val="center"/>
        <w:textAlignment w:val="baseline"/>
        <w:rPr>
          <w:rFonts w:asciiTheme="minorHAnsi" w:hAnsiTheme="minorHAnsi"/>
          <w:b/>
        </w:rPr>
      </w:pPr>
    </w:p>
    <w:sectPr w:rsidR="004546D1" w:rsidRPr="004546D1" w:rsidSect="00DE7AF9">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D5" w:rsidRDefault="00EE44D5" w:rsidP="00FE158D">
      <w:r>
        <w:separator/>
      </w:r>
    </w:p>
  </w:endnote>
  <w:endnote w:type="continuationSeparator" w:id="0">
    <w:p w:rsidR="00EE44D5" w:rsidRDefault="00EE44D5"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D5" w:rsidRDefault="00EE44D5" w:rsidP="00FE158D">
      <w:r>
        <w:separator/>
      </w:r>
    </w:p>
  </w:footnote>
  <w:footnote w:type="continuationSeparator" w:id="0">
    <w:p w:rsidR="00EE44D5" w:rsidRDefault="00EE44D5"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2">
    <w:nsid w:val="03C134AC"/>
    <w:multiLevelType w:val="multilevel"/>
    <w:tmpl w:val="CB6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203327"/>
    <w:multiLevelType w:val="hybridMultilevel"/>
    <w:tmpl w:val="1C8EF602"/>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nsid w:val="06562F93"/>
    <w:multiLevelType w:val="multilevel"/>
    <w:tmpl w:val="B2A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CD0F01"/>
    <w:multiLevelType w:val="hybridMultilevel"/>
    <w:tmpl w:val="87A8C6B6"/>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7C4562"/>
    <w:multiLevelType w:val="hybridMultilevel"/>
    <w:tmpl w:val="F67A3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27B8B"/>
    <w:multiLevelType w:val="hybridMultilevel"/>
    <w:tmpl w:val="B5D4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46C35"/>
    <w:multiLevelType w:val="hybridMultilevel"/>
    <w:tmpl w:val="1CCAEA2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9">
    <w:nsid w:val="26071C45"/>
    <w:multiLevelType w:val="hybridMultilevel"/>
    <w:tmpl w:val="5BE26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893149"/>
    <w:multiLevelType w:val="hybridMultilevel"/>
    <w:tmpl w:val="EBD00BA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16D5842"/>
    <w:multiLevelType w:val="hybridMultilevel"/>
    <w:tmpl w:val="D57CA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7C0E63"/>
    <w:multiLevelType w:val="hybridMultilevel"/>
    <w:tmpl w:val="2F009B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84326F1"/>
    <w:multiLevelType w:val="hybridMultilevel"/>
    <w:tmpl w:val="053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757F1"/>
    <w:multiLevelType w:val="hybridMultilevel"/>
    <w:tmpl w:val="159C55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29E62B0"/>
    <w:multiLevelType w:val="hybridMultilevel"/>
    <w:tmpl w:val="8E6E862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8">
    <w:nsid w:val="498073A8"/>
    <w:multiLevelType w:val="hybridMultilevel"/>
    <w:tmpl w:val="8BF83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57247"/>
    <w:multiLevelType w:val="hybridMultilevel"/>
    <w:tmpl w:val="D1F2B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E90D1F"/>
    <w:multiLevelType w:val="hybridMultilevel"/>
    <w:tmpl w:val="288863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379FE"/>
    <w:multiLevelType w:val="hybridMultilevel"/>
    <w:tmpl w:val="BF0A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56A18"/>
    <w:multiLevelType w:val="hybridMultilevel"/>
    <w:tmpl w:val="6DC8F29C"/>
    <w:lvl w:ilvl="0" w:tplc="B7085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87652B"/>
    <w:multiLevelType w:val="hybridMultilevel"/>
    <w:tmpl w:val="D07C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42348"/>
    <w:multiLevelType w:val="hybridMultilevel"/>
    <w:tmpl w:val="984065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F5FBE"/>
    <w:multiLevelType w:val="hybridMultilevel"/>
    <w:tmpl w:val="7E7836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56177173"/>
    <w:multiLevelType w:val="hybridMultilevel"/>
    <w:tmpl w:val="337ED0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58087BBC"/>
    <w:multiLevelType w:val="multilevel"/>
    <w:tmpl w:val="66B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335372"/>
    <w:multiLevelType w:val="hybridMultilevel"/>
    <w:tmpl w:val="2042C7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070531"/>
    <w:multiLevelType w:val="hybridMultilevel"/>
    <w:tmpl w:val="9F1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A3339"/>
    <w:multiLevelType w:val="hybridMultilevel"/>
    <w:tmpl w:val="81DAFE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7E3537"/>
    <w:multiLevelType w:val="hybridMultilevel"/>
    <w:tmpl w:val="9F16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02017E"/>
    <w:multiLevelType w:val="hybridMultilevel"/>
    <w:tmpl w:val="EBE6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803AB"/>
    <w:multiLevelType w:val="hybridMultilevel"/>
    <w:tmpl w:val="C7E4297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ADE73E4"/>
    <w:multiLevelType w:val="hybridMultilevel"/>
    <w:tmpl w:val="9B6A9D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B668C0"/>
    <w:multiLevelType w:val="hybridMultilevel"/>
    <w:tmpl w:val="B8FE8B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28"/>
  </w:num>
  <w:num w:numId="3">
    <w:abstractNumId w:val="29"/>
  </w:num>
  <w:num w:numId="4">
    <w:abstractNumId w:val="13"/>
  </w:num>
  <w:num w:numId="5">
    <w:abstractNumId w:val="8"/>
  </w:num>
  <w:num w:numId="6">
    <w:abstractNumId w:val="23"/>
  </w:num>
  <w:num w:numId="7">
    <w:abstractNumId w:val="34"/>
  </w:num>
  <w:num w:numId="8">
    <w:abstractNumId w:val="26"/>
  </w:num>
  <w:num w:numId="9">
    <w:abstractNumId w:val="37"/>
  </w:num>
  <w:num w:numId="10">
    <w:abstractNumId w:val="15"/>
  </w:num>
  <w:num w:numId="11">
    <w:abstractNumId w:val="21"/>
  </w:num>
  <w:num w:numId="12">
    <w:abstractNumId w:val="18"/>
  </w:num>
  <w:num w:numId="13">
    <w:abstractNumId w:val="19"/>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 w:numId="24">
    <w:abstractNumId w:val="10"/>
  </w:num>
  <w:num w:numId="25">
    <w:abstractNumId w:val="33"/>
  </w:num>
  <w:num w:numId="26">
    <w:abstractNumId w:val="4"/>
  </w:num>
  <w:num w:numId="27">
    <w:abstractNumId w:val="27"/>
  </w:num>
  <w:num w:numId="28">
    <w:abstractNumId w:val="2"/>
  </w:num>
  <w:num w:numId="29">
    <w:abstractNumId w:val="31"/>
  </w:num>
  <w:num w:numId="30">
    <w:abstractNumId w:val="36"/>
  </w:num>
  <w:num w:numId="31">
    <w:abstractNumId w:val="20"/>
  </w:num>
  <w:num w:numId="32">
    <w:abstractNumId w:val="22"/>
  </w:num>
  <w:num w:numId="33">
    <w:abstractNumId w:val="30"/>
  </w:num>
  <w:num w:numId="34">
    <w:abstractNumId w:val="32"/>
  </w:num>
  <w:num w:numId="35">
    <w:abstractNumId w:val="5"/>
  </w:num>
  <w:num w:numId="36">
    <w:abstractNumId w:val="6"/>
  </w:num>
  <w:num w:numId="37">
    <w:abstractNumId w:val="35"/>
  </w:num>
  <w:num w:numId="3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3379F"/>
    <w:rsid w:val="00052761"/>
    <w:rsid w:val="0005491D"/>
    <w:rsid w:val="00066D50"/>
    <w:rsid w:val="0007319F"/>
    <w:rsid w:val="0009522B"/>
    <w:rsid w:val="000D4F24"/>
    <w:rsid w:val="000D5B62"/>
    <w:rsid w:val="000E228A"/>
    <w:rsid w:val="000E46B8"/>
    <w:rsid w:val="000F08A2"/>
    <w:rsid w:val="000F7E90"/>
    <w:rsid w:val="00110BD0"/>
    <w:rsid w:val="0012309D"/>
    <w:rsid w:val="001234E5"/>
    <w:rsid w:val="00124F1B"/>
    <w:rsid w:val="00143D98"/>
    <w:rsid w:val="00170AD2"/>
    <w:rsid w:val="001754BD"/>
    <w:rsid w:val="00185739"/>
    <w:rsid w:val="001A633D"/>
    <w:rsid w:val="001C12A2"/>
    <w:rsid w:val="001F712F"/>
    <w:rsid w:val="00220F87"/>
    <w:rsid w:val="002376A2"/>
    <w:rsid w:val="00281160"/>
    <w:rsid w:val="002A3B2B"/>
    <w:rsid w:val="002C5F29"/>
    <w:rsid w:val="002E7F02"/>
    <w:rsid w:val="002F2B8A"/>
    <w:rsid w:val="003011C7"/>
    <w:rsid w:val="00301AA8"/>
    <w:rsid w:val="00345C9E"/>
    <w:rsid w:val="00354F50"/>
    <w:rsid w:val="00372DF7"/>
    <w:rsid w:val="0037305D"/>
    <w:rsid w:val="00373CF0"/>
    <w:rsid w:val="00383BE7"/>
    <w:rsid w:val="003A3E8D"/>
    <w:rsid w:val="003B0939"/>
    <w:rsid w:val="003B4B6B"/>
    <w:rsid w:val="003F0C77"/>
    <w:rsid w:val="004546D1"/>
    <w:rsid w:val="004769B5"/>
    <w:rsid w:val="00484844"/>
    <w:rsid w:val="004A5AF4"/>
    <w:rsid w:val="00534CAA"/>
    <w:rsid w:val="0053611B"/>
    <w:rsid w:val="0053732B"/>
    <w:rsid w:val="005438CB"/>
    <w:rsid w:val="00593E4B"/>
    <w:rsid w:val="005A052F"/>
    <w:rsid w:val="005A6135"/>
    <w:rsid w:val="005F036A"/>
    <w:rsid w:val="006034EC"/>
    <w:rsid w:val="00603AC0"/>
    <w:rsid w:val="00605605"/>
    <w:rsid w:val="00610027"/>
    <w:rsid w:val="00611CB6"/>
    <w:rsid w:val="00621FC9"/>
    <w:rsid w:val="006338B1"/>
    <w:rsid w:val="0066679B"/>
    <w:rsid w:val="006A3CC2"/>
    <w:rsid w:val="006B2ED2"/>
    <w:rsid w:val="006C781E"/>
    <w:rsid w:val="007176A0"/>
    <w:rsid w:val="007251EF"/>
    <w:rsid w:val="007374FD"/>
    <w:rsid w:val="00770982"/>
    <w:rsid w:val="00783084"/>
    <w:rsid w:val="007A61F1"/>
    <w:rsid w:val="007B5407"/>
    <w:rsid w:val="007B6E87"/>
    <w:rsid w:val="007F26C3"/>
    <w:rsid w:val="00805910"/>
    <w:rsid w:val="008068A8"/>
    <w:rsid w:val="008259FB"/>
    <w:rsid w:val="008E7224"/>
    <w:rsid w:val="008F3038"/>
    <w:rsid w:val="009073EC"/>
    <w:rsid w:val="00921F84"/>
    <w:rsid w:val="00922270"/>
    <w:rsid w:val="009478FB"/>
    <w:rsid w:val="00951B77"/>
    <w:rsid w:val="009603FE"/>
    <w:rsid w:val="0097400C"/>
    <w:rsid w:val="009801BB"/>
    <w:rsid w:val="009B7479"/>
    <w:rsid w:val="009C0D8A"/>
    <w:rsid w:val="009C106D"/>
    <w:rsid w:val="009C583E"/>
    <w:rsid w:val="009D5449"/>
    <w:rsid w:val="009E7E27"/>
    <w:rsid w:val="009F0488"/>
    <w:rsid w:val="00A039B0"/>
    <w:rsid w:val="00A10CAC"/>
    <w:rsid w:val="00A25232"/>
    <w:rsid w:val="00A9460A"/>
    <w:rsid w:val="00AB677E"/>
    <w:rsid w:val="00AC0FC3"/>
    <w:rsid w:val="00AE086B"/>
    <w:rsid w:val="00AE6CAD"/>
    <w:rsid w:val="00B019EA"/>
    <w:rsid w:val="00B042B1"/>
    <w:rsid w:val="00B12DFD"/>
    <w:rsid w:val="00B24FB4"/>
    <w:rsid w:val="00B62D92"/>
    <w:rsid w:val="00B656A9"/>
    <w:rsid w:val="00B819DF"/>
    <w:rsid w:val="00BA5845"/>
    <w:rsid w:val="00BB507F"/>
    <w:rsid w:val="00BB653D"/>
    <w:rsid w:val="00BE4375"/>
    <w:rsid w:val="00BF403E"/>
    <w:rsid w:val="00C0102E"/>
    <w:rsid w:val="00C170A5"/>
    <w:rsid w:val="00C2446B"/>
    <w:rsid w:val="00C531C9"/>
    <w:rsid w:val="00C71D53"/>
    <w:rsid w:val="00CA5795"/>
    <w:rsid w:val="00CD73F9"/>
    <w:rsid w:val="00D265AD"/>
    <w:rsid w:val="00D4498B"/>
    <w:rsid w:val="00D60968"/>
    <w:rsid w:val="00DB6D68"/>
    <w:rsid w:val="00DC40AB"/>
    <w:rsid w:val="00DE7AF9"/>
    <w:rsid w:val="00E15C95"/>
    <w:rsid w:val="00E21502"/>
    <w:rsid w:val="00E94EC6"/>
    <w:rsid w:val="00ED101C"/>
    <w:rsid w:val="00ED6153"/>
    <w:rsid w:val="00EE1F3A"/>
    <w:rsid w:val="00EE44D5"/>
    <w:rsid w:val="00EF0A00"/>
    <w:rsid w:val="00F06B92"/>
    <w:rsid w:val="00F12D09"/>
    <w:rsid w:val="00F80F83"/>
    <w:rsid w:val="00F84583"/>
    <w:rsid w:val="00F9046D"/>
    <w:rsid w:val="00FA6FBB"/>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 w:type="character" w:customStyle="1" w:styleId="normaltextrun">
    <w:name w:val="normaltextrun"/>
    <w:basedOn w:val="DefaultParagraphFont"/>
    <w:rsid w:val="00FA6FBB"/>
  </w:style>
  <w:style w:type="character" w:customStyle="1" w:styleId="eop">
    <w:name w:val="eop"/>
    <w:basedOn w:val="DefaultParagraphFont"/>
    <w:rsid w:val="00FA6FBB"/>
  </w:style>
  <w:style w:type="character" w:customStyle="1" w:styleId="apple-converted-space">
    <w:name w:val="apple-converted-space"/>
    <w:basedOn w:val="DefaultParagraphFont"/>
    <w:rsid w:val="00FA6FBB"/>
  </w:style>
  <w:style w:type="paragraph" w:styleId="BodyText">
    <w:name w:val="Body Text"/>
    <w:basedOn w:val="Normal"/>
    <w:link w:val="BodyTextChar"/>
    <w:uiPriority w:val="99"/>
    <w:unhideWhenUsed/>
    <w:rsid w:val="00FA6FBB"/>
    <w:pPr>
      <w:widowControl w:val="0"/>
      <w:autoSpaceDE w:val="0"/>
      <w:autoSpaceDN w:val="0"/>
      <w:adjustRightInd w:val="0"/>
      <w:spacing w:after="240" w:line="360" w:lineRule="atLeast"/>
      <w:ind w:right="1440"/>
    </w:pPr>
    <w:rPr>
      <w:rFonts w:asciiTheme="minorHAnsi" w:eastAsiaTheme="minorHAnsi" w:hAnsiTheme="minorHAnsi" w:cstheme="minorBidi"/>
      <w:color w:val="000000"/>
      <w:sz w:val="22"/>
      <w:szCs w:val="22"/>
    </w:rPr>
  </w:style>
  <w:style w:type="character" w:customStyle="1" w:styleId="BodyTextChar">
    <w:name w:val="Body Text Char"/>
    <w:basedOn w:val="DefaultParagraphFont"/>
    <w:link w:val="BodyText"/>
    <w:uiPriority w:val="99"/>
    <w:rsid w:val="00FA6FBB"/>
    <w:rPr>
      <w:color w:val="000000"/>
    </w:rPr>
  </w:style>
  <w:style w:type="paragraph" w:styleId="BodyText2">
    <w:name w:val="Body Text 2"/>
    <w:basedOn w:val="Normal"/>
    <w:link w:val="BodyText2Char"/>
    <w:uiPriority w:val="99"/>
    <w:unhideWhenUsed/>
    <w:rsid w:val="00FA6FBB"/>
    <w:pPr>
      <w:widowControl w:val="0"/>
      <w:autoSpaceDE w:val="0"/>
      <w:autoSpaceDN w:val="0"/>
      <w:adjustRightInd w:val="0"/>
      <w:spacing w:after="240" w:line="360" w:lineRule="atLeast"/>
      <w:ind w:right="1440"/>
      <w:jc w:val="both"/>
    </w:pPr>
    <w:rPr>
      <w:rFonts w:asciiTheme="minorHAnsi" w:eastAsiaTheme="minorHAnsi" w:hAnsiTheme="minorHAnsi" w:cstheme="minorBidi"/>
      <w:b/>
      <w:bCs/>
      <w:color w:val="000000" w:themeColor="text1"/>
      <w:sz w:val="22"/>
      <w:szCs w:val="22"/>
    </w:rPr>
  </w:style>
  <w:style w:type="character" w:customStyle="1" w:styleId="BodyText2Char">
    <w:name w:val="Body Text 2 Char"/>
    <w:basedOn w:val="DefaultParagraphFont"/>
    <w:link w:val="BodyText2"/>
    <w:uiPriority w:val="99"/>
    <w:rsid w:val="00FA6FBB"/>
    <w:rPr>
      <w:b/>
      <w:bCs/>
      <w:color w:val="000000" w:themeColor="text1"/>
    </w:rPr>
  </w:style>
  <w:style w:type="paragraph" w:styleId="BodyText3">
    <w:name w:val="Body Text 3"/>
    <w:basedOn w:val="Normal"/>
    <w:link w:val="BodyText3Char"/>
    <w:uiPriority w:val="99"/>
    <w:unhideWhenUsed/>
    <w:rsid w:val="00FA6FBB"/>
    <w:pPr>
      <w:widowControl w:val="0"/>
      <w:autoSpaceDE w:val="0"/>
      <w:autoSpaceDN w:val="0"/>
      <w:adjustRightInd w:val="0"/>
      <w:spacing w:after="240" w:line="360" w:lineRule="atLeast"/>
    </w:pPr>
    <w:rPr>
      <w:rFonts w:asciiTheme="minorHAnsi" w:eastAsiaTheme="minorHAnsi" w:hAnsiTheme="minorHAnsi" w:cstheme="minorBidi"/>
      <w:color w:val="000000" w:themeColor="text1"/>
      <w:sz w:val="22"/>
      <w:szCs w:val="22"/>
    </w:rPr>
  </w:style>
  <w:style w:type="character" w:customStyle="1" w:styleId="BodyText3Char">
    <w:name w:val="Body Text 3 Char"/>
    <w:basedOn w:val="DefaultParagraphFont"/>
    <w:link w:val="BodyText3"/>
    <w:uiPriority w:val="99"/>
    <w:rsid w:val="00FA6FBB"/>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 w:type="character" w:customStyle="1" w:styleId="normaltextrun">
    <w:name w:val="normaltextrun"/>
    <w:basedOn w:val="DefaultParagraphFont"/>
    <w:rsid w:val="00FA6FBB"/>
  </w:style>
  <w:style w:type="character" w:customStyle="1" w:styleId="eop">
    <w:name w:val="eop"/>
    <w:basedOn w:val="DefaultParagraphFont"/>
    <w:rsid w:val="00FA6FBB"/>
  </w:style>
  <w:style w:type="character" w:customStyle="1" w:styleId="apple-converted-space">
    <w:name w:val="apple-converted-space"/>
    <w:basedOn w:val="DefaultParagraphFont"/>
    <w:rsid w:val="00FA6FBB"/>
  </w:style>
  <w:style w:type="paragraph" w:styleId="BodyText">
    <w:name w:val="Body Text"/>
    <w:basedOn w:val="Normal"/>
    <w:link w:val="BodyTextChar"/>
    <w:uiPriority w:val="99"/>
    <w:unhideWhenUsed/>
    <w:rsid w:val="00FA6FBB"/>
    <w:pPr>
      <w:widowControl w:val="0"/>
      <w:autoSpaceDE w:val="0"/>
      <w:autoSpaceDN w:val="0"/>
      <w:adjustRightInd w:val="0"/>
      <w:spacing w:after="240" w:line="360" w:lineRule="atLeast"/>
      <w:ind w:right="1440"/>
    </w:pPr>
    <w:rPr>
      <w:rFonts w:asciiTheme="minorHAnsi" w:eastAsiaTheme="minorHAnsi" w:hAnsiTheme="minorHAnsi" w:cstheme="minorBidi"/>
      <w:color w:val="000000"/>
      <w:sz w:val="22"/>
      <w:szCs w:val="22"/>
    </w:rPr>
  </w:style>
  <w:style w:type="character" w:customStyle="1" w:styleId="BodyTextChar">
    <w:name w:val="Body Text Char"/>
    <w:basedOn w:val="DefaultParagraphFont"/>
    <w:link w:val="BodyText"/>
    <w:uiPriority w:val="99"/>
    <w:rsid w:val="00FA6FBB"/>
    <w:rPr>
      <w:color w:val="000000"/>
    </w:rPr>
  </w:style>
  <w:style w:type="paragraph" w:styleId="BodyText2">
    <w:name w:val="Body Text 2"/>
    <w:basedOn w:val="Normal"/>
    <w:link w:val="BodyText2Char"/>
    <w:uiPriority w:val="99"/>
    <w:unhideWhenUsed/>
    <w:rsid w:val="00FA6FBB"/>
    <w:pPr>
      <w:widowControl w:val="0"/>
      <w:autoSpaceDE w:val="0"/>
      <w:autoSpaceDN w:val="0"/>
      <w:adjustRightInd w:val="0"/>
      <w:spacing w:after="240" w:line="360" w:lineRule="atLeast"/>
      <w:ind w:right="1440"/>
      <w:jc w:val="both"/>
    </w:pPr>
    <w:rPr>
      <w:rFonts w:asciiTheme="minorHAnsi" w:eastAsiaTheme="minorHAnsi" w:hAnsiTheme="minorHAnsi" w:cstheme="minorBidi"/>
      <w:b/>
      <w:bCs/>
      <w:color w:val="000000" w:themeColor="text1"/>
      <w:sz w:val="22"/>
      <w:szCs w:val="22"/>
    </w:rPr>
  </w:style>
  <w:style w:type="character" w:customStyle="1" w:styleId="BodyText2Char">
    <w:name w:val="Body Text 2 Char"/>
    <w:basedOn w:val="DefaultParagraphFont"/>
    <w:link w:val="BodyText2"/>
    <w:uiPriority w:val="99"/>
    <w:rsid w:val="00FA6FBB"/>
    <w:rPr>
      <w:b/>
      <w:bCs/>
      <w:color w:val="000000" w:themeColor="text1"/>
    </w:rPr>
  </w:style>
  <w:style w:type="paragraph" w:styleId="BodyText3">
    <w:name w:val="Body Text 3"/>
    <w:basedOn w:val="Normal"/>
    <w:link w:val="BodyText3Char"/>
    <w:uiPriority w:val="99"/>
    <w:unhideWhenUsed/>
    <w:rsid w:val="00FA6FBB"/>
    <w:pPr>
      <w:widowControl w:val="0"/>
      <w:autoSpaceDE w:val="0"/>
      <w:autoSpaceDN w:val="0"/>
      <w:adjustRightInd w:val="0"/>
      <w:spacing w:after="240" w:line="360" w:lineRule="atLeast"/>
    </w:pPr>
    <w:rPr>
      <w:rFonts w:asciiTheme="minorHAnsi" w:eastAsiaTheme="minorHAnsi" w:hAnsiTheme="minorHAnsi" w:cstheme="minorBidi"/>
      <w:color w:val="000000" w:themeColor="text1"/>
      <w:sz w:val="22"/>
      <w:szCs w:val="22"/>
    </w:rPr>
  </w:style>
  <w:style w:type="character" w:customStyle="1" w:styleId="BodyText3Char">
    <w:name w:val="Body Text 3 Char"/>
    <w:basedOn w:val="DefaultParagraphFont"/>
    <w:link w:val="BodyText3"/>
    <w:uiPriority w:val="99"/>
    <w:rsid w:val="00FA6FB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64700942">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i.org/topics/adesmedicationreconciliation/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ms.gov/Medicare/Provider-Enrollment-and-Certification/SurveyCertificationGenInfo/Downloads/Survey-and-Cert-Letter-17-07.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36C3-EACF-4C6C-B2C0-C4BBC9BC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5</cp:revision>
  <dcterms:created xsi:type="dcterms:W3CDTF">2017-01-28T16:43:00Z</dcterms:created>
  <dcterms:modified xsi:type="dcterms:W3CDTF">2017-02-08T18:31:00Z</dcterms:modified>
</cp:coreProperties>
</file>