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C33C24">
      <w:pP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BC5AA9">
                            <w:pPr>
                              <w:rPr>
                                <w:rFonts w:ascii="Calibri" w:hAnsi="Calibri"/>
                                <w:color w:val="FFFFFF" w:themeColor="background1"/>
                                <w:sz w:val="72"/>
                              </w:rPr>
                            </w:pPr>
                            <w:r>
                              <w:rPr>
                                <w:rFonts w:ascii="Calibri" w:hAnsi="Calibri"/>
                                <w:color w:val="FFFFFF" w:themeColor="background1"/>
                                <w:sz w:val="72"/>
                              </w:rPr>
                              <w:t>Post Test</w:t>
                            </w:r>
                            <w:r w:rsidR="00C7574F">
                              <w:rPr>
                                <w:rFonts w:ascii="Calibri" w:hAnsi="Calibri"/>
                                <w:color w:val="FFFFFF" w:themeColor="background1"/>
                                <w:sz w:val="72"/>
                              </w:rPr>
                              <w:t xml:space="preserve"> Answer Key</w:t>
                            </w:r>
                            <w:r>
                              <w:rPr>
                                <w:rFonts w:ascii="Calibri" w:hAnsi="Calibri"/>
                                <w:color w:val="FFFFFF" w:themeColor="background1"/>
                                <w:sz w:val="72"/>
                              </w:rPr>
                              <w:t>-</w:t>
                            </w:r>
                          </w:p>
                          <w:p w:rsidR="00BC5AA9" w:rsidRPr="00301AA8" w:rsidRDefault="00241124">
                            <w:pPr>
                              <w:rPr>
                                <w:rFonts w:ascii="Calibri" w:hAnsi="Calibri"/>
                                <w:color w:val="FFFFFF" w:themeColor="background1"/>
                                <w:sz w:val="72"/>
                                <w14:textFill>
                                  <w14:noFill/>
                                </w14:textFill>
                              </w:rPr>
                            </w:pPr>
                            <w:r>
                              <w:rPr>
                                <w:rFonts w:ascii="Calibri" w:hAnsi="Calibri"/>
                                <w:color w:val="FFFFFF" w:themeColor="background1"/>
                                <w:sz w:val="72"/>
                              </w:rPr>
                              <w:t xml:space="preserve">Transfer </w:t>
                            </w:r>
                            <w:r w:rsidR="00BA44B2">
                              <w:rPr>
                                <w:rFonts w:ascii="Calibri" w:hAnsi="Calibri"/>
                                <w:color w:val="FFFFFF" w:themeColor="background1"/>
                                <w:sz w:val="72"/>
                              </w:rPr>
                              <w:t xml:space="preserve">Discharge </w:t>
                            </w:r>
                            <w:r>
                              <w:rPr>
                                <w:rFonts w:ascii="Calibri" w:hAnsi="Calibri"/>
                                <w:color w:val="FFFFFF" w:themeColor="background1"/>
                                <w:sz w:val="72"/>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Default="00BC5AA9">
                      <w:pPr>
                        <w:rPr>
                          <w:rFonts w:ascii="Calibri" w:hAnsi="Calibri"/>
                          <w:color w:val="FFFFFF" w:themeColor="background1"/>
                          <w:sz w:val="72"/>
                        </w:rPr>
                      </w:pPr>
                      <w:r>
                        <w:rPr>
                          <w:rFonts w:ascii="Calibri" w:hAnsi="Calibri"/>
                          <w:color w:val="FFFFFF" w:themeColor="background1"/>
                          <w:sz w:val="72"/>
                        </w:rPr>
                        <w:t>Post Test</w:t>
                      </w:r>
                      <w:r w:rsidR="00C7574F">
                        <w:rPr>
                          <w:rFonts w:ascii="Calibri" w:hAnsi="Calibri"/>
                          <w:color w:val="FFFFFF" w:themeColor="background1"/>
                          <w:sz w:val="72"/>
                        </w:rPr>
                        <w:t xml:space="preserve"> Answer Key</w:t>
                      </w:r>
                      <w:r>
                        <w:rPr>
                          <w:rFonts w:ascii="Calibri" w:hAnsi="Calibri"/>
                          <w:color w:val="FFFFFF" w:themeColor="background1"/>
                          <w:sz w:val="72"/>
                        </w:rPr>
                        <w:t>-</w:t>
                      </w:r>
                    </w:p>
                    <w:p w:rsidR="00BC5AA9" w:rsidRPr="00301AA8" w:rsidRDefault="00241124">
                      <w:pPr>
                        <w:rPr>
                          <w:rFonts w:ascii="Calibri" w:hAnsi="Calibri"/>
                          <w:color w:val="FFFFFF" w:themeColor="background1"/>
                          <w:sz w:val="72"/>
                          <w14:textFill>
                            <w14:noFill/>
                          </w14:textFill>
                        </w:rPr>
                      </w:pPr>
                      <w:r>
                        <w:rPr>
                          <w:rFonts w:ascii="Calibri" w:hAnsi="Calibri"/>
                          <w:color w:val="FFFFFF" w:themeColor="background1"/>
                          <w:sz w:val="72"/>
                        </w:rPr>
                        <w:t xml:space="preserve">Transfer </w:t>
                      </w:r>
                      <w:r w:rsidR="00BA44B2">
                        <w:rPr>
                          <w:rFonts w:ascii="Calibri" w:hAnsi="Calibri"/>
                          <w:color w:val="FFFFFF" w:themeColor="background1"/>
                          <w:sz w:val="72"/>
                        </w:rPr>
                        <w:t xml:space="preserve">Discharge </w:t>
                      </w:r>
                      <w:r>
                        <w:rPr>
                          <w:rFonts w:ascii="Calibri" w:hAnsi="Calibri"/>
                          <w:color w:val="FFFFFF" w:themeColor="background1"/>
                          <w:sz w:val="72"/>
                        </w:rPr>
                        <w:t>Process</w:t>
                      </w:r>
                    </w:p>
                  </w:txbxContent>
                </v:textbox>
                <w10:wrap anchory="page"/>
              </v:shape>
            </w:pict>
          </mc:Fallback>
        </mc:AlternateContent>
      </w:r>
    </w:p>
    <w:p w:rsidR="00BC5AA9" w:rsidRDefault="00605605" w:rsidP="00BC5AA9">
      <w:pPr>
        <w:spacing w:after="160" w:line="259" w:lineRule="auto"/>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74AB1380" wp14:editId="62181E8B">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52589CE0" wp14:editId="2C872A2C">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BC5AA9" w:rsidRPr="00BC5AA9" w:rsidRDefault="00C7574F" w:rsidP="00BC5AA9">
      <w:pPr>
        <w:spacing w:after="160" w:line="259" w:lineRule="auto"/>
        <w:jc w:val="center"/>
        <w:rPr>
          <w:rFonts w:ascii="Calibri" w:hAnsi="Calibri"/>
          <w:b/>
          <w:sz w:val="32"/>
        </w:rPr>
      </w:pPr>
      <w:r>
        <w:rPr>
          <w:rFonts w:ascii="Calibri" w:hAnsi="Calibri"/>
          <w:b/>
          <w:sz w:val="32"/>
        </w:rPr>
        <w:lastRenderedPageBreak/>
        <w:t xml:space="preserve">POST TEST ANSWER KEY - </w:t>
      </w:r>
      <w:r w:rsidR="00241124">
        <w:rPr>
          <w:rFonts w:ascii="Calibri" w:hAnsi="Calibri"/>
          <w:b/>
          <w:sz w:val="32"/>
        </w:rPr>
        <w:t xml:space="preserve">TRANSFER </w:t>
      </w:r>
      <w:r w:rsidR="00BA44B2">
        <w:rPr>
          <w:rFonts w:ascii="Calibri" w:hAnsi="Calibri"/>
          <w:b/>
          <w:sz w:val="32"/>
        </w:rPr>
        <w:t xml:space="preserve">DISCHARGE </w:t>
      </w:r>
      <w:r w:rsidR="00241124">
        <w:rPr>
          <w:rFonts w:ascii="Calibri" w:hAnsi="Calibri"/>
          <w:b/>
          <w:sz w:val="32"/>
        </w:rPr>
        <w:t>PROCESS</w:t>
      </w:r>
      <w:r w:rsidR="00E6322B">
        <w:rPr>
          <w:rFonts w:ascii="Calibri" w:hAnsi="Calibri"/>
          <w:b/>
          <w:sz w:val="32"/>
        </w:rPr>
        <w:t xml:space="preserve"> </w:t>
      </w:r>
    </w:p>
    <w:tbl>
      <w:tblPr>
        <w:tblStyle w:val="TableGrid"/>
        <w:tblW w:w="10440" w:type="dxa"/>
        <w:tblInd w:w="-522" w:type="dxa"/>
        <w:tblLook w:val="04A0" w:firstRow="1" w:lastRow="0" w:firstColumn="1" w:lastColumn="0" w:noHBand="0" w:noVBand="1"/>
      </w:tblPr>
      <w:tblGrid>
        <w:gridCol w:w="6480"/>
        <w:gridCol w:w="3960"/>
      </w:tblGrid>
      <w:tr w:rsidR="00D20CC9" w:rsidRPr="00BC5AA9" w:rsidTr="00F379F9">
        <w:trPr>
          <w:trHeight w:val="683"/>
        </w:trPr>
        <w:tc>
          <w:tcPr>
            <w:tcW w:w="6480" w:type="dxa"/>
            <w:shd w:val="clear" w:color="auto" w:fill="D9D9D9" w:themeFill="background1" w:themeFillShade="D9"/>
            <w:vAlign w:val="center"/>
          </w:tcPr>
          <w:p w:rsidR="00D20CC9" w:rsidRPr="00BC5AA9" w:rsidRDefault="00D20CC9" w:rsidP="00F379F9">
            <w:pPr>
              <w:jc w:val="center"/>
              <w:rPr>
                <w:rFonts w:ascii="Calibri" w:hAnsi="Calibri"/>
                <w:b/>
                <w:bCs/>
                <w:sz w:val="28"/>
                <w:szCs w:val="24"/>
              </w:rPr>
            </w:pPr>
            <w:r w:rsidRPr="00BC5AA9">
              <w:rPr>
                <w:rFonts w:ascii="Calibri" w:hAnsi="Calibri"/>
                <w:b/>
                <w:bCs/>
                <w:sz w:val="28"/>
                <w:szCs w:val="24"/>
              </w:rPr>
              <w:t>Question</w:t>
            </w:r>
            <w:r w:rsidR="00657790">
              <w:rPr>
                <w:rFonts w:ascii="Calibri" w:hAnsi="Calibri"/>
                <w:b/>
                <w:bCs/>
                <w:sz w:val="28"/>
                <w:szCs w:val="24"/>
              </w:rPr>
              <w:t>: True or False?</w:t>
            </w:r>
          </w:p>
        </w:tc>
        <w:tc>
          <w:tcPr>
            <w:tcW w:w="3960" w:type="dxa"/>
            <w:shd w:val="clear" w:color="auto" w:fill="D9D9D9" w:themeFill="background1" w:themeFillShade="D9"/>
            <w:vAlign w:val="center"/>
          </w:tcPr>
          <w:p w:rsidR="00D20CC9" w:rsidRPr="00BC5AA9" w:rsidRDefault="00D20CC9" w:rsidP="00F379F9">
            <w:pPr>
              <w:jc w:val="center"/>
              <w:rPr>
                <w:rFonts w:ascii="Calibri" w:hAnsi="Calibri"/>
                <w:b/>
                <w:bCs/>
                <w:sz w:val="28"/>
                <w:szCs w:val="24"/>
              </w:rPr>
            </w:pPr>
            <w:r>
              <w:rPr>
                <w:rFonts w:ascii="Calibri" w:hAnsi="Calibri"/>
                <w:b/>
                <w:bCs/>
                <w:sz w:val="28"/>
                <w:szCs w:val="24"/>
              </w:rPr>
              <w:t>Answer</w:t>
            </w:r>
          </w:p>
        </w:tc>
      </w:tr>
      <w:tr w:rsidR="00D20CC9" w:rsidRPr="00BC5AA9" w:rsidTr="00F379F9">
        <w:tc>
          <w:tcPr>
            <w:tcW w:w="6480" w:type="dxa"/>
          </w:tcPr>
          <w:p w:rsidR="00D20CC9" w:rsidRPr="00E6322B" w:rsidRDefault="00C069E9" w:rsidP="00E6322B">
            <w:pPr>
              <w:pStyle w:val="ListParagraph"/>
              <w:numPr>
                <w:ilvl w:val="0"/>
                <w:numId w:val="34"/>
              </w:numPr>
              <w:contextualSpacing/>
              <w:rPr>
                <w:rFonts w:asciiTheme="minorHAnsi" w:hAnsiTheme="minorHAnsi"/>
              </w:rPr>
            </w:pPr>
            <w:r>
              <w:rPr>
                <w:rFonts w:asciiTheme="minorHAnsi" w:hAnsiTheme="minorHAnsi"/>
              </w:rPr>
              <w:t>A transfer or dis</w:t>
            </w:r>
            <w:r w:rsidR="00C7574F">
              <w:rPr>
                <w:rFonts w:asciiTheme="minorHAnsi" w:hAnsiTheme="minorHAnsi"/>
              </w:rPr>
              <w:t>charge stands for a room change.</w:t>
            </w:r>
          </w:p>
        </w:tc>
        <w:tc>
          <w:tcPr>
            <w:tcW w:w="3960" w:type="dxa"/>
          </w:tcPr>
          <w:p w:rsidR="00D20CC9" w:rsidRPr="00BC5AA9" w:rsidRDefault="00C069E9" w:rsidP="00D20CC9">
            <w:pPr>
              <w:spacing w:after="160" w:line="259" w:lineRule="auto"/>
              <w:rPr>
                <w:rFonts w:ascii="Calibri" w:hAnsi="Calibri"/>
                <w:bCs/>
                <w:szCs w:val="24"/>
              </w:rPr>
            </w:pPr>
            <w:r w:rsidRPr="00C7574F">
              <w:rPr>
                <w:rFonts w:ascii="Calibri" w:hAnsi="Calibri"/>
                <w:b/>
                <w:bCs/>
                <w:szCs w:val="24"/>
              </w:rPr>
              <w:t>False</w:t>
            </w:r>
            <w:r>
              <w:rPr>
                <w:rFonts w:ascii="Calibri" w:hAnsi="Calibri"/>
                <w:bCs/>
                <w:szCs w:val="24"/>
              </w:rPr>
              <w:t xml:space="preserve"> - </w:t>
            </w:r>
            <w:r w:rsidRPr="00C7574F">
              <w:rPr>
                <w:rFonts w:ascii="Calibri" w:hAnsi="Calibri"/>
                <w:bCs/>
                <w:iCs/>
                <w:szCs w:val="24"/>
              </w:rPr>
              <w:t xml:space="preserve">Transfer and discharge </w:t>
            </w:r>
            <w:r w:rsidRPr="00C7574F">
              <w:rPr>
                <w:rFonts w:ascii="Calibri" w:hAnsi="Calibri"/>
                <w:bCs/>
                <w:szCs w:val="24"/>
              </w:rPr>
              <w:t>includes movement of a resident to a bed outside of the certified facility whether that bed is in the same physical plant or not.</w:t>
            </w:r>
          </w:p>
        </w:tc>
      </w:tr>
      <w:tr w:rsidR="00D20CC9" w:rsidRPr="00BC5AA9" w:rsidTr="00F379F9">
        <w:tc>
          <w:tcPr>
            <w:tcW w:w="6480" w:type="dxa"/>
          </w:tcPr>
          <w:p w:rsidR="00D20CC9" w:rsidRPr="00E6322B" w:rsidRDefault="00C069E9" w:rsidP="00BA44B2">
            <w:pPr>
              <w:pStyle w:val="ListParagraph"/>
              <w:numPr>
                <w:ilvl w:val="0"/>
                <w:numId w:val="34"/>
              </w:numPr>
              <w:contextualSpacing/>
              <w:rPr>
                <w:rFonts w:asciiTheme="minorHAnsi" w:hAnsiTheme="minorHAnsi"/>
              </w:rPr>
            </w:pPr>
            <w:r>
              <w:rPr>
                <w:rFonts w:asciiTheme="minorHAnsi" w:hAnsiTheme="minorHAnsi"/>
              </w:rPr>
              <w:t>The facility must provide a Notice of Discharge to a resident and resident representative</w:t>
            </w:r>
            <w:r w:rsidR="00C7574F">
              <w:rPr>
                <w:rFonts w:asciiTheme="minorHAnsi" w:hAnsiTheme="minorHAnsi"/>
              </w:rPr>
              <w:t xml:space="preserve"> 30 days prior to the discharge.</w:t>
            </w:r>
          </w:p>
        </w:tc>
        <w:tc>
          <w:tcPr>
            <w:tcW w:w="3960" w:type="dxa"/>
          </w:tcPr>
          <w:p w:rsidR="00D20CC9" w:rsidRPr="00BC5AA9" w:rsidRDefault="00C069E9" w:rsidP="00BC5AA9">
            <w:pPr>
              <w:spacing w:after="160" w:line="259" w:lineRule="auto"/>
              <w:rPr>
                <w:rFonts w:ascii="Calibri" w:hAnsi="Calibri"/>
                <w:bCs/>
                <w:szCs w:val="24"/>
              </w:rPr>
            </w:pPr>
            <w:r w:rsidRPr="00C069E9">
              <w:rPr>
                <w:rFonts w:ascii="Calibri" w:hAnsi="Calibri"/>
                <w:b/>
                <w:bCs/>
                <w:szCs w:val="24"/>
              </w:rPr>
              <w:t xml:space="preserve">True </w:t>
            </w:r>
            <w:r>
              <w:rPr>
                <w:rFonts w:ascii="Calibri" w:hAnsi="Calibri"/>
                <w:bCs/>
                <w:szCs w:val="24"/>
              </w:rPr>
              <w:t>– a 30 day Notice is required</w:t>
            </w:r>
          </w:p>
        </w:tc>
      </w:tr>
      <w:tr w:rsidR="00D20CC9" w:rsidRPr="00BC5AA9" w:rsidTr="00F379F9">
        <w:tc>
          <w:tcPr>
            <w:tcW w:w="6480" w:type="dxa"/>
          </w:tcPr>
          <w:p w:rsidR="00D20CC9" w:rsidRPr="00E6322B" w:rsidRDefault="00C069E9" w:rsidP="00E6322B">
            <w:pPr>
              <w:pStyle w:val="ListParagraph"/>
              <w:numPr>
                <w:ilvl w:val="0"/>
                <w:numId w:val="34"/>
              </w:numPr>
              <w:contextualSpacing/>
              <w:rPr>
                <w:rFonts w:asciiTheme="minorHAnsi" w:hAnsiTheme="minorHAnsi"/>
              </w:rPr>
            </w:pPr>
            <w:r>
              <w:rPr>
                <w:rFonts w:asciiTheme="minorHAnsi" w:hAnsiTheme="minorHAnsi"/>
              </w:rPr>
              <w:t>Prior to discharge, the facility is not responsible for training or orienting the resident to their new setting</w:t>
            </w:r>
            <w:r w:rsidR="00C7574F">
              <w:rPr>
                <w:rFonts w:asciiTheme="minorHAnsi" w:hAnsiTheme="minorHAnsi"/>
              </w:rPr>
              <w:t>.</w:t>
            </w:r>
            <w:r>
              <w:rPr>
                <w:rFonts w:asciiTheme="minorHAnsi" w:hAnsiTheme="minorHAnsi"/>
              </w:rPr>
              <w:t xml:space="preserve"> </w:t>
            </w:r>
          </w:p>
        </w:tc>
        <w:tc>
          <w:tcPr>
            <w:tcW w:w="3960" w:type="dxa"/>
          </w:tcPr>
          <w:p w:rsidR="00D20CC9" w:rsidRPr="00BC5AA9" w:rsidRDefault="00C069E9" w:rsidP="00BC5AA9">
            <w:pPr>
              <w:spacing w:after="160" w:line="259" w:lineRule="auto"/>
              <w:rPr>
                <w:rFonts w:ascii="Calibri" w:hAnsi="Calibri"/>
                <w:bCs/>
                <w:szCs w:val="24"/>
              </w:rPr>
            </w:pPr>
            <w:r w:rsidRPr="00C069E9">
              <w:rPr>
                <w:rFonts w:ascii="Calibri" w:hAnsi="Calibri"/>
                <w:b/>
                <w:bCs/>
                <w:szCs w:val="24"/>
              </w:rPr>
              <w:t xml:space="preserve">False </w:t>
            </w:r>
            <w:r>
              <w:rPr>
                <w:rFonts w:ascii="Calibri" w:hAnsi="Calibri"/>
                <w:bCs/>
                <w:szCs w:val="24"/>
              </w:rPr>
              <w:t>– the facility is required to sufficiently orient the resident and receiving organization to ensure a safe transition of care</w:t>
            </w:r>
          </w:p>
        </w:tc>
      </w:tr>
      <w:tr w:rsidR="00D20CC9" w:rsidRPr="00BC5AA9" w:rsidTr="00F379F9">
        <w:tc>
          <w:tcPr>
            <w:tcW w:w="6480" w:type="dxa"/>
          </w:tcPr>
          <w:p w:rsidR="00D20CC9" w:rsidRPr="00BC5AA9" w:rsidRDefault="00C069E9" w:rsidP="00E6322B">
            <w:pPr>
              <w:pStyle w:val="ListParagraph"/>
              <w:numPr>
                <w:ilvl w:val="0"/>
                <w:numId w:val="34"/>
              </w:numPr>
              <w:spacing w:after="160" w:line="259" w:lineRule="auto"/>
              <w:rPr>
                <w:rFonts w:ascii="Calibri" w:hAnsi="Calibri"/>
                <w:bCs/>
                <w:szCs w:val="24"/>
              </w:rPr>
            </w:pPr>
            <w:r>
              <w:rPr>
                <w:rFonts w:ascii="Calibri" w:hAnsi="Calibri"/>
                <w:bCs/>
                <w:szCs w:val="24"/>
              </w:rPr>
              <w:t>The facility can discharge a resident because their family complains a lot!</w:t>
            </w:r>
            <w:bookmarkStart w:id="0" w:name="_GoBack"/>
            <w:bookmarkEnd w:id="0"/>
          </w:p>
        </w:tc>
        <w:tc>
          <w:tcPr>
            <w:tcW w:w="3960" w:type="dxa"/>
          </w:tcPr>
          <w:p w:rsidR="00D20CC9" w:rsidRPr="00BC5AA9" w:rsidRDefault="00F379F9" w:rsidP="00BC5AA9">
            <w:pPr>
              <w:spacing w:after="160" w:line="259" w:lineRule="auto"/>
              <w:rPr>
                <w:rFonts w:ascii="Calibri" w:hAnsi="Calibri"/>
                <w:bCs/>
                <w:szCs w:val="24"/>
              </w:rPr>
            </w:pPr>
            <w:r w:rsidRPr="00C7574F">
              <w:rPr>
                <w:rFonts w:ascii="Calibri" w:hAnsi="Calibri"/>
                <w:b/>
                <w:bCs/>
                <w:szCs w:val="24"/>
              </w:rPr>
              <w:t>False</w:t>
            </w:r>
            <w:r>
              <w:rPr>
                <w:rFonts w:ascii="Calibri" w:hAnsi="Calibri"/>
                <w:bCs/>
                <w:szCs w:val="24"/>
              </w:rPr>
              <w:t xml:space="preserve"> – All residents have a right to reside in the facility.  Only unless there are emergent situations, clinical or behavioral condition that cannot be met in the facility, resident has improved and no longer needs services as well as other regulatory specific circumstances – can a resident be discharged.  </w:t>
            </w:r>
          </w:p>
        </w:tc>
      </w:tr>
      <w:tr w:rsidR="00D20CC9" w:rsidRPr="00BC5AA9" w:rsidTr="00F379F9">
        <w:tc>
          <w:tcPr>
            <w:tcW w:w="6480" w:type="dxa"/>
          </w:tcPr>
          <w:p w:rsidR="00D20CC9" w:rsidRPr="00C7574F" w:rsidRDefault="00BA44B2" w:rsidP="00C7574F">
            <w:pPr>
              <w:pStyle w:val="ListParagraph"/>
              <w:numPr>
                <w:ilvl w:val="0"/>
                <w:numId w:val="34"/>
              </w:numPr>
              <w:contextualSpacing/>
              <w:rPr>
                <w:rFonts w:asciiTheme="minorHAnsi" w:hAnsiTheme="minorHAnsi"/>
                <w:szCs w:val="24"/>
              </w:rPr>
            </w:pPr>
            <w:r w:rsidRPr="00C7574F">
              <w:rPr>
                <w:rFonts w:asciiTheme="minorHAnsi" w:hAnsiTheme="minorHAnsi"/>
                <w:szCs w:val="24"/>
              </w:rPr>
              <w:t>Information about the resident from the MDS does not need to be included in the discharge summary</w:t>
            </w:r>
            <w:r w:rsidR="00C7574F" w:rsidRPr="00C7574F">
              <w:rPr>
                <w:rFonts w:asciiTheme="minorHAnsi" w:hAnsiTheme="minorHAnsi"/>
                <w:szCs w:val="24"/>
              </w:rPr>
              <w:t>.</w:t>
            </w:r>
          </w:p>
        </w:tc>
        <w:tc>
          <w:tcPr>
            <w:tcW w:w="3960" w:type="dxa"/>
          </w:tcPr>
          <w:p w:rsidR="00D20CC9" w:rsidRPr="00BC5AA9" w:rsidRDefault="00F379F9" w:rsidP="00BC5AA9">
            <w:pPr>
              <w:spacing w:after="160" w:line="259" w:lineRule="auto"/>
              <w:rPr>
                <w:rFonts w:ascii="Calibri" w:hAnsi="Calibri"/>
                <w:bCs/>
                <w:szCs w:val="24"/>
              </w:rPr>
            </w:pPr>
            <w:r w:rsidRPr="00F379F9">
              <w:rPr>
                <w:rFonts w:ascii="Calibri" w:hAnsi="Calibri"/>
                <w:b/>
                <w:bCs/>
                <w:szCs w:val="24"/>
              </w:rPr>
              <w:t>False</w:t>
            </w:r>
            <w:r>
              <w:rPr>
                <w:rFonts w:ascii="Calibri" w:hAnsi="Calibri"/>
                <w:bCs/>
                <w:szCs w:val="24"/>
              </w:rPr>
              <w:t xml:space="preserve"> – MDS information is part of the Discharge process.</w:t>
            </w:r>
          </w:p>
        </w:tc>
      </w:tr>
    </w:tbl>
    <w:p w:rsidR="00657790" w:rsidRDefault="00657790" w:rsidP="00BC5AA9">
      <w:pPr>
        <w:spacing w:before="120" w:after="120" w:line="276" w:lineRule="auto"/>
        <w:rPr>
          <w:rFonts w:ascii="Calibri" w:eastAsia="Calibri" w:hAnsi="Calibri"/>
          <w:szCs w:val="24"/>
        </w:rPr>
      </w:pPr>
    </w:p>
    <w:p w:rsidR="00DE7AF9" w:rsidRPr="00BC5AA9" w:rsidRDefault="00DE7AF9" w:rsidP="00BC5AA9">
      <w:pPr>
        <w:spacing w:after="200" w:line="276" w:lineRule="auto"/>
        <w:rPr>
          <w:rFonts w:ascii="Calibri" w:eastAsia="Calibri" w:hAnsi="Calibri"/>
          <w:szCs w:val="24"/>
        </w:rPr>
      </w:pPr>
    </w:p>
    <w:sectPr w:rsidR="00DE7AF9" w:rsidRPr="00BC5AA9"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B0" w:rsidRDefault="005C7DB0" w:rsidP="00FE158D">
      <w:r>
        <w:separator/>
      </w:r>
    </w:p>
  </w:endnote>
  <w:endnote w:type="continuationSeparator" w:id="0">
    <w:p w:rsidR="005C7DB0" w:rsidRDefault="005C7DB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B0" w:rsidRDefault="005C7DB0" w:rsidP="00FE158D">
      <w:r>
        <w:separator/>
      </w:r>
    </w:p>
  </w:footnote>
  <w:footnote w:type="continuationSeparator" w:id="0">
    <w:p w:rsidR="005C7DB0" w:rsidRDefault="005C7DB0"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32D3F60"/>
    <w:multiLevelType w:val="hybridMultilevel"/>
    <w:tmpl w:val="A3E8A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442EE8"/>
    <w:multiLevelType w:val="hybridMultilevel"/>
    <w:tmpl w:val="4A2A9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6">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num>
  <w:num w:numId="24">
    <w:abstractNumId w:val="9"/>
  </w:num>
  <w:num w:numId="25">
    <w:abstractNumId w:val="17"/>
  </w:num>
  <w:num w:numId="26">
    <w:abstractNumId w:val="13"/>
  </w:num>
  <w:num w:numId="27">
    <w:abstractNumId w:val="18"/>
  </w:num>
  <w:num w:numId="28">
    <w:abstractNumId w:val="7"/>
  </w:num>
  <w:num w:numId="29">
    <w:abstractNumId w:val="22"/>
  </w:num>
  <w:num w:numId="30">
    <w:abstractNumId w:val="20"/>
  </w:num>
  <w:num w:numId="31">
    <w:abstractNumId w:val="31"/>
  </w:num>
  <w:num w:numId="32">
    <w:abstractNumId w:val="3"/>
  </w:num>
  <w:num w:numId="33">
    <w:abstractNumId w:val="1"/>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2309D"/>
    <w:rsid w:val="00170AD2"/>
    <w:rsid w:val="00185739"/>
    <w:rsid w:val="00200FC3"/>
    <w:rsid w:val="002376A2"/>
    <w:rsid w:val="00241124"/>
    <w:rsid w:val="002A560A"/>
    <w:rsid w:val="002B01E7"/>
    <w:rsid w:val="002C5F29"/>
    <w:rsid w:val="002F2B8A"/>
    <w:rsid w:val="003011C7"/>
    <w:rsid w:val="00301AA8"/>
    <w:rsid w:val="00372DF7"/>
    <w:rsid w:val="00373CF0"/>
    <w:rsid w:val="003A3E8D"/>
    <w:rsid w:val="003B0939"/>
    <w:rsid w:val="003F0C77"/>
    <w:rsid w:val="00484844"/>
    <w:rsid w:val="00534CAA"/>
    <w:rsid w:val="0053732B"/>
    <w:rsid w:val="005438CB"/>
    <w:rsid w:val="00593E4B"/>
    <w:rsid w:val="005C7DB0"/>
    <w:rsid w:val="005F036A"/>
    <w:rsid w:val="006034EC"/>
    <w:rsid w:val="00603AC0"/>
    <w:rsid w:val="00605605"/>
    <w:rsid w:val="00610027"/>
    <w:rsid w:val="006338B1"/>
    <w:rsid w:val="00657790"/>
    <w:rsid w:val="006A3CC2"/>
    <w:rsid w:val="006B2ED2"/>
    <w:rsid w:val="007251EF"/>
    <w:rsid w:val="00783084"/>
    <w:rsid w:val="007A61F1"/>
    <w:rsid w:val="007F26C3"/>
    <w:rsid w:val="00805910"/>
    <w:rsid w:val="008259FB"/>
    <w:rsid w:val="008E7224"/>
    <w:rsid w:val="009073EC"/>
    <w:rsid w:val="009478FB"/>
    <w:rsid w:val="00951B77"/>
    <w:rsid w:val="009B7479"/>
    <w:rsid w:val="009C106D"/>
    <w:rsid w:val="009C583E"/>
    <w:rsid w:val="009F0488"/>
    <w:rsid w:val="00A039B0"/>
    <w:rsid w:val="00A25232"/>
    <w:rsid w:val="00A9460A"/>
    <w:rsid w:val="00AA5532"/>
    <w:rsid w:val="00AB677E"/>
    <w:rsid w:val="00AC0FC3"/>
    <w:rsid w:val="00AD6D42"/>
    <w:rsid w:val="00AF7CC1"/>
    <w:rsid w:val="00B019EA"/>
    <w:rsid w:val="00B1213D"/>
    <w:rsid w:val="00B24FB4"/>
    <w:rsid w:val="00BA44B2"/>
    <w:rsid w:val="00BB507F"/>
    <w:rsid w:val="00BC5AA9"/>
    <w:rsid w:val="00BE2EC0"/>
    <w:rsid w:val="00C0102E"/>
    <w:rsid w:val="00C069E9"/>
    <w:rsid w:val="00C170A5"/>
    <w:rsid w:val="00C33C24"/>
    <w:rsid w:val="00C71D53"/>
    <w:rsid w:val="00C7574F"/>
    <w:rsid w:val="00D20CC9"/>
    <w:rsid w:val="00DB6D68"/>
    <w:rsid w:val="00DC40AB"/>
    <w:rsid w:val="00DE7AF9"/>
    <w:rsid w:val="00E30628"/>
    <w:rsid w:val="00E6322B"/>
    <w:rsid w:val="00E94EC6"/>
    <w:rsid w:val="00ED6153"/>
    <w:rsid w:val="00EF0A00"/>
    <w:rsid w:val="00F379F9"/>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39"/>
    <w:rsid w:val="00BC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39"/>
    <w:rsid w:val="00BC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738207006">
      <w:bodyDiv w:val="1"/>
      <w:marLeft w:val="0"/>
      <w:marRight w:val="0"/>
      <w:marTop w:val="0"/>
      <w:marBottom w:val="0"/>
      <w:divBdr>
        <w:top w:val="none" w:sz="0" w:space="0" w:color="auto"/>
        <w:left w:val="none" w:sz="0" w:space="0" w:color="auto"/>
        <w:bottom w:val="none" w:sz="0" w:space="0" w:color="auto"/>
        <w:right w:val="none" w:sz="0" w:space="0" w:color="auto"/>
      </w:divBdr>
    </w:div>
    <w:div w:id="742339535">
      <w:bodyDiv w:val="1"/>
      <w:marLeft w:val="0"/>
      <w:marRight w:val="0"/>
      <w:marTop w:val="0"/>
      <w:marBottom w:val="0"/>
      <w:divBdr>
        <w:top w:val="none" w:sz="0" w:space="0" w:color="auto"/>
        <w:left w:val="none" w:sz="0" w:space="0" w:color="auto"/>
        <w:bottom w:val="none" w:sz="0" w:space="0" w:color="auto"/>
        <w:right w:val="none" w:sz="0" w:space="0" w:color="auto"/>
      </w:divBdr>
    </w:div>
    <w:div w:id="892931604">
      <w:bodyDiv w:val="1"/>
      <w:marLeft w:val="0"/>
      <w:marRight w:val="0"/>
      <w:marTop w:val="0"/>
      <w:marBottom w:val="0"/>
      <w:divBdr>
        <w:top w:val="none" w:sz="0" w:space="0" w:color="auto"/>
        <w:left w:val="none" w:sz="0" w:space="0" w:color="auto"/>
        <w:bottom w:val="none" w:sz="0" w:space="0" w:color="auto"/>
        <w:right w:val="none" w:sz="0" w:space="0" w:color="auto"/>
      </w:divBdr>
    </w:div>
    <w:div w:id="102822025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E7C0-72F1-49A0-BCC7-C42006BD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5</cp:revision>
  <dcterms:created xsi:type="dcterms:W3CDTF">2017-01-29T05:05:00Z</dcterms:created>
  <dcterms:modified xsi:type="dcterms:W3CDTF">2017-02-08T20:55:00Z</dcterms:modified>
</cp:coreProperties>
</file>