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C33C24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BC5AA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Test-</w:t>
                            </w:r>
                            <w:r w:rsidR="000A39FE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Answer Key</w:t>
                            </w:r>
                          </w:p>
                          <w:p w:rsidR="00BC5AA9" w:rsidRPr="00301AA8" w:rsidRDefault="00C4286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Advance Directive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BC5AA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Test-</w:t>
                      </w:r>
                      <w:r w:rsidR="000A39FE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Answer Key</w:t>
                      </w:r>
                    </w:p>
                    <w:p w:rsidR="00BC5AA9" w:rsidRPr="00301AA8" w:rsidRDefault="00C42861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Advance Directive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C5AA9" w:rsidRDefault="00605605" w:rsidP="00BC5AA9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1380" wp14:editId="62181E8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380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9CE0" wp14:editId="2C872A2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9CE0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BC5AA9" w:rsidRPr="00BC5AA9" w:rsidRDefault="00F1599A" w:rsidP="00BC5AA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POST TEST ANSWER KEY - </w:t>
      </w:r>
      <w:r w:rsidR="00C42861">
        <w:rPr>
          <w:rFonts w:ascii="Calibri" w:hAnsi="Calibri"/>
          <w:b/>
          <w:sz w:val="32"/>
        </w:rPr>
        <w:t>ADVANCE DIRECTIVE</w:t>
      </w:r>
      <w:r w:rsidR="00E6322B">
        <w:rPr>
          <w:rFonts w:ascii="Calibri" w:hAnsi="Calibri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392"/>
      </w:tblGrid>
      <w:tr w:rsidR="00D20CC9" w:rsidRPr="00BC5AA9" w:rsidTr="00C42861">
        <w:trPr>
          <w:trHeight w:val="683"/>
        </w:trPr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657790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C42861">
        <w:tc>
          <w:tcPr>
            <w:tcW w:w="5958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All residents have the right to decline medical or surgical treatment even if that means they possibly could die.</w:t>
            </w:r>
          </w:p>
        </w:tc>
        <w:tc>
          <w:tcPr>
            <w:tcW w:w="3392" w:type="dxa"/>
          </w:tcPr>
          <w:p w:rsidR="00D20CC9" w:rsidRPr="00C42861" w:rsidRDefault="00EE1AE2" w:rsidP="00C42861">
            <w:pPr>
              <w:rPr>
                <w:rFonts w:ascii="Calibri" w:hAnsi="Calibri"/>
                <w:bCs/>
                <w:szCs w:val="24"/>
              </w:rPr>
            </w:pPr>
            <w:r w:rsidRPr="00C42861">
              <w:rPr>
                <w:rFonts w:ascii="Calibri" w:hAnsi="Calibri"/>
                <w:b/>
                <w:bCs/>
                <w:szCs w:val="24"/>
              </w:rPr>
              <w:t>True</w:t>
            </w:r>
            <w:r w:rsidRPr="00C42861">
              <w:rPr>
                <w:rFonts w:ascii="Calibri" w:hAnsi="Calibri"/>
                <w:bCs/>
                <w:szCs w:val="24"/>
              </w:rPr>
              <w:t xml:space="preserve"> – the Resident has the right to choose or refuse care.  The facility has the obligation to ensure informed decision making by providing an explanation of care including risks and benefits</w:t>
            </w:r>
            <w:r w:rsidR="00C42861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D20CC9" w:rsidRPr="00BC5AA9" w:rsidTr="00C42861">
        <w:tc>
          <w:tcPr>
            <w:tcW w:w="5958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The Advance Directive is required for every individual entering a long term care facility.</w:t>
            </w:r>
          </w:p>
        </w:tc>
        <w:tc>
          <w:tcPr>
            <w:tcW w:w="3392" w:type="dxa"/>
          </w:tcPr>
          <w:p w:rsidR="00D20CC9" w:rsidRPr="00C42861" w:rsidRDefault="00EE1AE2" w:rsidP="00C42861">
            <w:pPr>
              <w:rPr>
                <w:rFonts w:ascii="Calibri" w:hAnsi="Calibri"/>
                <w:bCs/>
                <w:szCs w:val="24"/>
              </w:rPr>
            </w:pPr>
            <w:r w:rsidRPr="00C42861">
              <w:rPr>
                <w:rFonts w:ascii="Calibri" w:hAnsi="Calibri"/>
                <w:b/>
                <w:bCs/>
                <w:szCs w:val="24"/>
              </w:rPr>
              <w:t>False</w:t>
            </w:r>
            <w:r w:rsidRPr="00C42861">
              <w:rPr>
                <w:rFonts w:ascii="Calibri" w:hAnsi="Calibri"/>
                <w:bCs/>
                <w:szCs w:val="24"/>
              </w:rPr>
              <w:t xml:space="preserve"> – The facility is required to determine upon admission, whether the resident has executed an advance directive or has given other instructions for </w:t>
            </w:r>
            <w:r w:rsidR="00E75055" w:rsidRPr="00C42861">
              <w:rPr>
                <w:rFonts w:ascii="Calibri" w:hAnsi="Calibri"/>
                <w:bCs/>
                <w:szCs w:val="24"/>
              </w:rPr>
              <w:t xml:space="preserve">care in the event of incapacity, provide written information on the policy, offer to assist in formulation - </w:t>
            </w:r>
            <w:r w:rsidRPr="00C42861">
              <w:rPr>
                <w:rFonts w:ascii="Calibri" w:hAnsi="Calibri"/>
                <w:bCs/>
                <w:szCs w:val="24"/>
              </w:rPr>
              <w:t>but the resident is not required to have one</w:t>
            </w:r>
            <w:r w:rsidR="00C42861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D20CC9" w:rsidRPr="00BC5AA9" w:rsidTr="00C42861">
        <w:tc>
          <w:tcPr>
            <w:tcW w:w="5958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A key element to an individual at end of life is having a voice in treatment options.</w:t>
            </w:r>
          </w:p>
        </w:tc>
        <w:tc>
          <w:tcPr>
            <w:tcW w:w="3392" w:type="dxa"/>
          </w:tcPr>
          <w:p w:rsidR="00D20CC9" w:rsidRPr="00C42861" w:rsidRDefault="00EE1AE2" w:rsidP="00C42861">
            <w:pPr>
              <w:rPr>
                <w:rFonts w:ascii="Calibri" w:hAnsi="Calibri"/>
                <w:bCs/>
                <w:szCs w:val="24"/>
              </w:rPr>
            </w:pPr>
            <w:r w:rsidRPr="00C42861">
              <w:rPr>
                <w:rFonts w:ascii="Calibri" w:hAnsi="Calibri"/>
                <w:b/>
                <w:bCs/>
                <w:szCs w:val="24"/>
              </w:rPr>
              <w:t>True-</w:t>
            </w:r>
            <w:r w:rsidRPr="00C42861">
              <w:rPr>
                <w:rFonts w:ascii="Calibri" w:hAnsi="Calibri"/>
                <w:bCs/>
                <w:szCs w:val="24"/>
              </w:rPr>
              <w:t>The resident is able to make choices on treatment options and change them at any time in order to have a voice regarding their preference(s)</w:t>
            </w:r>
            <w:r w:rsidR="00C42861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D20CC9" w:rsidRPr="00BC5AA9" w:rsidTr="00C42861">
        <w:tc>
          <w:tcPr>
            <w:tcW w:w="5958" w:type="dxa"/>
          </w:tcPr>
          <w:p w:rsidR="00D20CC9" w:rsidRPr="00BC5AA9" w:rsidRDefault="00BE2EC0" w:rsidP="00E632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facility is required to </w:t>
            </w:r>
            <w:r w:rsidR="00E6322B">
              <w:rPr>
                <w:rFonts w:ascii="Calibri" w:hAnsi="Calibri"/>
                <w:bCs/>
                <w:szCs w:val="24"/>
              </w:rPr>
              <w:t>advise</w:t>
            </w:r>
            <w:r w:rsidR="002A560A">
              <w:rPr>
                <w:rFonts w:ascii="Calibri" w:hAnsi="Calibri"/>
                <w:bCs/>
                <w:szCs w:val="24"/>
              </w:rPr>
              <w:t xml:space="preserve"> the resident and family of the right to establish an advance directive and offer assistance to the resident to execute.</w:t>
            </w:r>
          </w:p>
        </w:tc>
        <w:tc>
          <w:tcPr>
            <w:tcW w:w="3392" w:type="dxa"/>
          </w:tcPr>
          <w:p w:rsidR="00D20CC9" w:rsidRPr="00C42861" w:rsidRDefault="00EE1AE2" w:rsidP="00C42861">
            <w:pPr>
              <w:rPr>
                <w:rFonts w:ascii="Calibri" w:hAnsi="Calibri"/>
                <w:bCs/>
                <w:szCs w:val="24"/>
              </w:rPr>
            </w:pPr>
            <w:r w:rsidRPr="00C42861">
              <w:rPr>
                <w:rFonts w:ascii="Calibri" w:hAnsi="Calibri"/>
                <w:b/>
                <w:bCs/>
                <w:szCs w:val="24"/>
              </w:rPr>
              <w:t>True</w:t>
            </w:r>
            <w:r w:rsidRPr="00C42861">
              <w:rPr>
                <w:rFonts w:ascii="Calibri" w:hAnsi="Calibri"/>
                <w:bCs/>
                <w:szCs w:val="24"/>
              </w:rPr>
              <w:t>-the facility is required to adv</w:t>
            </w:r>
            <w:r w:rsidR="00445176" w:rsidRPr="00C42861">
              <w:rPr>
                <w:rFonts w:ascii="Calibri" w:hAnsi="Calibri"/>
                <w:bCs/>
                <w:szCs w:val="24"/>
              </w:rPr>
              <w:t xml:space="preserve">ise </w:t>
            </w:r>
            <w:r w:rsidRPr="00C42861">
              <w:rPr>
                <w:rFonts w:ascii="Calibri" w:hAnsi="Calibri"/>
                <w:bCs/>
                <w:szCs w:val="24"/>
              </w:rPr>
              <w:t>the resident of their rights and offer to assist, but the resident does have the option to accept or refuse to execute an advance directive</w:t>
            </w:r>
            <w:r w:rsidR="00C42861">
              <w:rPr>
                <w:rFonts w:ascii="Calibri" w:hAnsi="Calibri"/>
                <w:bCs/>
                <w:szCs w:val="24"/>
              </w:rPr>
              <w:t>.</w:t>
            </w:r>
            <w:r w:rsidRPr="00C42861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</w:tr>
      <w:tr w:rsidR="00D20CC9" w:rsidRPr="00BC5AA9" w:rsidTr="00C42861">
        <w:tc>
          <w:tcPr>
            <w:tcW w:w="5958" w:type="dxa"/>
          </w:tcPr>
          <w:p w:rsidR="00D20CC9" w:rsidRPr="00E6322B" w:rsidRDefault="00E6322B" w:rsidP="00C42861">
            <w:pPr>
              <w:ind w:left="288" w:hanging="288"/>
              <w:contextualSpacing/>
              <w:rPr>
                <w:rFonts w:asciiTheme="minorHAnsi" w:hAnsiTheme="minorHAnsi"/>
                <w:szCs w:val="24"/>
              </w:rPr>
            </w:pPr>
            <w:r w:rsidRPr="00E6322B">
              <w:rPr>
                <w:rFonts w:asciiTheme="minorHAnsi" w:hAnsiTheme="minorHAnsi"/>
                <w:szCs w:val="24"/>
              </w:rPr>
              <w:t>5.  Once an individual had made the decision to have a DNR, they are unable to rescind it.</w:t>
            </w:r>
          </w:p>
        </w:tc>
        <w:tc>
          <w:tcPr>
            <w:tcW w:w="3392" w:type="dxa"/>
          </w:tcPr>
          <w:p w:rsidR="00D20CC9" w:rsidRPr="00C42861" w:rsidRDefault="00445176" w:rsidP="00C42861">
            <w:pPr>
              <w:rPr>
                <w:rFonts w:ascii="Calibri" w:hAnsi="Calibri"/>
                <w:bCs/>
                <w:szCs w:val="24"/>
              </w:rPr>
            </w:pPr>
            <w:r w:rsidRPr="00C42861">
              <w:rPr>
                <w:rFonts w:ascii="Calibri" w:hAnsi="Calibri"/>
                <w:b/>
                <w:bCs/>
                <w:szCs w:val="24"/>
              </w:rPr>
              <w:t>False</w:t>
            </w:r>
            <w:r w:rsidRPr="00C42861">
              <w:rPr>
                <w:rFonts w:ascii="Calibri" w:hAnsi="Calibri"/>
                <w:bCs/>
                <w:szCs w:val="24"/>
              </w:rPr>
              <w:t>—the resident can change their directive and the facility will need to document and honor the resident choice</w:t>
            </w:r>
            <w:r w:rsidR="00C42861">
              <w:rPr>
                <w:rFonts w:ascii="Calibri" w:hAnsi="Calibri"/>
                <w:bCs/>
                <w:szCs w:val="24"/>
              </w:rPr>
              <w:t>.</w:t>
            </w:r>
          </w:p>
        </w:tc>
      </w:tr>
    </w:tbl>
    <w:p w:rsidR="00657790" w:rsidRDefault="00657790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DE7AF9" w:rsidRPr="00BC5AA9" w:rsidRDefault="00DE7AF9" w:rsidP="00BC5AA9">
      <w:pPr>
        <w:spacing w:after="200" w:line="276" w:lineRule="auto"/>
        <w:rPr>
          <w:rFonts w:ascii="Calibri" w:eastAsia="Calibri" w:hAnsi="Calibri"/>
          <w:szCs w:val="24"/>
        </w:rPr>
      </w:pPr>
    </w:p>
    <w:sectPr w:rsidR="00DE7AF9" w:rsidRPr="00BC5AA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87" w:rsidRDefault="00592287" w:rsidP="00FE158D">
      <w:r>
        <w:separator/>
      </w:r>
    </w:p>
  </w:endnote>
  <w:endnote w:type="continuationSeparator" w:id="0">
    <w:p w:rsidR="00592287" w:rsidRDefault="0059228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87" w:rsidRDefault="00592287" w:rsidP="00FE158D">
      <w:r>
        <w:separator/>
      </w:r>
    </w:p>
  </w:footnote>
  <w:footnote w:type="continuationSeparator" w:id="0">
    <w:p w:rsidR="00592287" w:rsidRDefault="0059228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42EE8"/>
    <w:multiLevelType w:val="hybridMultilevel"/>
    <w:tmpl w:val="4A2A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1"/>
  </w:num>
  <w:num w:numId="32">
    <w:abstractNumId w:val="3"/>
  </w:num>
  <w:num w:numId="33">
    <w:abstractNumId w:val="1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MLAwtLCwNDQ3MTYyUdpeDU4uLM/DyQAsNaAA4MY3osAAAA"/>
  </w:docVars>
  <w:rsids>
    <w:rsidRoot w:val="006338B1"/>
    <w:rsid w:val="00066D50"/>
    <w:rsid w:val="000A39FE"/>
    <w:rsid w:val="000D5B62"/>
    <w:rsid w:val="000E228A"/>
    <w:rsid w:val="000F7E90"/>
    <w:rsid w:val="0012309D"/>
    <w:rsid w:val="00170AD2"/>
    <w:rsid w:val="00185739"/>
    <w:rsid w:val="001C6F02"/>
    <w:rsid w:val="002376A2"/>
    <w:rsid w:val="002A560A"/>
    <w:rsid w:val="002B01E7"/>
    <w:rsid w:val="002C5F29"/>
    <w:rsid w:val="002F2B8A"/>
    <w:rsid w:val="003011C7"/>
    <w:rsid w:val="00301AA8"/>
    <w:rsid w:val="00372DF7"/>
    <w:rsid w:val="00373CF0"/>
    <w:rsid w:val="003A3E8D"/>
    <w:rsid w:val="003B0939"/>
    <w:rsid w:val="003E4E19"/>
    <w:rsid w:val="003F0C77"/>
    <w:rsid w:val="00445176"/>
    <w:rsid w:val="00484844"/>
    <w:rsid w:val="00534CAA"/>
    <w:rsid w:val="0053732B"/>
    <w:rsid w:val="005438CB"/>
    <w:rsid w:val="00592287"/>
    <w:rsid w:val="00593E4B"/>
    <w:rsid w:val="005F036A"/>
    <w:rsid w:val="006034EC"/>
    <w:rsid w:val="00603AC0"/>
    <w:rsid w:val="00605605"/>
    <w:rsid w:val="00610027"/>
    <w:rsid w:val="006338B1"/>
    <w:rsid w:val="00657790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A5532"/>
    <w:rsid w:val="00AB677E"/>
    <w:rsid w:val="00AC0FC3"/>
    <w:rsid w:val="00AC18E5"/>
    <w:rsid w:val="00AD6D42"/>
    <w:rsid w:val="00AF7CC1"/>
    <w:rsid w:val="00B019EA"/>
    <w:rsid w:val="00B1213D"/>
    <w:rsid w:val="00B24FB4"/>
    <w:rsid w:val="00BB507F"/>
    <w:rsid w:val="00BC5AA9"/>
    <w:rsid w:val="00BE2EC0"/>
    <w:rsid w:val="00C0102E"/>
    <w:rsid w:val="00C170A5"/>
    <w:rsid w:val="00C33C24"/>
    <w:rsid w:val="00C42861"/>
    <w:rsid w:val="00C71D53"/>
    <w:rsid w:val="00D20CC9"/>
    <w:rsid w:val="00DB6D68"/>
    <w:rsid w:val="00DC40AB"/>
    <w:rsid w:val="00DE7AF9"/>
    <w:rsid w:val="00E6322B"/>
    <w:rsid w:val="00E75055"/>
    <w:rsid w:val="00E94EC6"/>
    <w:rsid w:val="00ED6153"/>
    <w:rsid w:val="00EE1AE2"/>
    <w:rsid w:val="00EF0A00"/>
    <w:rsid w:val="00F1599A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A50C5-DC6E-42E9-AC21-89F5C551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2086-CBA0-4D50-BA72-7B7D1C7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2017-02-08T14:34:00Z</dcterms:created>
  <dcterms:modified xsi:type="dcterms:W3CDTF">2017-02-08T14:34:00Z</dcterms:modified>
</cp:coreProperties>
</file>