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B91834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Post Test-</w:t>
                            </w:r>
                          </w:p>
                          <w:p w:rsidR="00B91834" w:rsidRPr="00301AA8" w:rsidRDefault="00B91834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Drug Regimen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B91834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Post Test-</w:t>
                      </w:r>
                    </w:p>
                    <w:p w:rsidR="00B91834" w:rsidRPr="00301AA8" w:rsidRDefault="00B91834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Drug Regimen Review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91834" w:rsidRPr="00B91834" w:rsidRDefault="00605605" w:rsidP="00B91834">
      <w:pPr>
        <w:jc w:val="center"/>
        <w:rPr>
          <w:rFonts w:ascii="Calibri" w:eastAsia="Calibri" w:hAnsi="Calibri"/>
          <w:b/>
          <w:sz w:val="32"/>
          <w:szCs w:val="2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3DC1B" wp14:editId="111FD758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DC1B"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51527" wp14:editId="2B5925E7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1527"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B91834" w:rsidRPr="00B91834">
        <w:rPr>
          <w:rFonts w:ascii="Calibri" w:eastAsia="Calibri" w:hAnsi="Calibri"/>
          <w:b/>
          <w:sz w:val="32"/>
          <w:szCs w:val="22"/>
        </w:rPr>
        <w:lastRenderedPageBreak/>
        <w:t>Post Test – Drug Regimen Review</w:t>
      </w:r>
    </w:p>
    <w:p w:rsidR="00B91834" w:rsidRPr="00B91834" w:rsidRDefault="00B91834" w:rsidP="00B9183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9"/>
        <w:gridCol w:w="2741"/>
      </w:tblGrid>
      <w:tr w:rsidR="00B91834" w:rsidRPr="00B91834" w:rsidTr="00955058">
        <w:tc>
          <w:tcPr>
            <w:tcW w:w="6609" w:type="dxa"/>
          </w:tcPr>
          <w:p w:rsidR="00B91834" w:rsidRPr="00B91834" w:rsidRDefault="00B91834" w:rsidP="00B91834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 w:rsidRPr="00B91834">
              <w:rPr>
                <w:rFonts w:ascii="Calibri" w:eastAsia="Calibri" w:hAnsi="Calibri"/>
                <w:b/>
                <w:sz w:val="28"/>
                <w:szCs w:val="22"/>
              </w:rPr>
              <w:t>Question</w:t>
            </w:r>
          </w:p>
        </w:tc>
        <w:tc>
          <w:tcPr>
            <w:tcW w:w="2741" w:type="dxa"/>
          </w:tcPr>
          <w:p w:rsidR="00B91834" w:rsidRPr="00B91834" w:rsidRDefault="00B91834" w:rsidP="00B91834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 w:rsidRPr="00B91834">
              <w:rPr>
                <w:rFonts w:ascii="Calibri" w:eastAsia="Calibri" w:hAnsi="Calibri"/>
                <w:b/>
                <w:sz w:val="28"/>
                <w:szCs w:val="22"/>
              </w:rPr>
              <w:t>Answer</w:t>
            </w:r>
          </w:p>
        </w:tc>
      </w:tr>
      <w:tr w:rsidR="00B91834" w:rsidRPr="00B91834" w:rsidTr="00955058">
        <w:tc>
          <w:tcPr>
            <w:tcW w:w="6609" w:type="dxa"/>
          </w:tcPr>
          <w:p w:rsidR="00B91834" w:rsidRPr="00B91834" w:rsidRDefault="00B91834" w:rsidP="00B91834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Cs w:val="24"/>
              </w:rPr>
            </w:pPr>
            <w:r w:rsidRPr="00B91834">
              <w:rPr>
                <w:rFonts w:ascii="Calibri" w:eastAsia="Calibri" w:hAnsi="Calibri"/>
                <w:szCs w:val="24"/>
              </w:rPr>
              <w:t>A Drug Regimen Review is completed by pharmacist every 90 days</w:t>
            </w:r>
          </w:p>
          <w:p w:rsidR="00B91834" w:rsidRPr="00B91834" w:rsidRDefault="00B91834" w:rsidP="00B91834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B91834" w:rsidRPr="00B91834" w:rsidRDefault="00B91834" w:rsidP="00B91834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B91834" w:rsidRPr="00B91834" w:rsidTr="00955058">
        <w:tc>
          <w:tcPr>
            <w:tcW w:w="6609" w:type="dxa"/>
          </w:tcPr>
          <w:p w:rsidR="00B91834" w:rsidRDefault="00B91834" w:rsidP="00B91834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Cs w:val="24"/>
              </w:rPr>
            </w:pPr>
            <w:r w:rsidRPr="00B91834">
              <w:rPr>
                <w:rFonts w:ascii="Calibri" w:eastAsia="Calibri" w:hAnsi="Calibri"/>
                <w:szCs w:val="24"/>
              </w:rPr>
              <w:t xml:space="preserve">When the Pharmacy </w:t>
            </w:r>
            <w:r w:rsidR="005C0D7A">
              <w:rPr>
                <w:rFonts w:ascii="Calibri" w:eastAsia="Calibri" w:hAnsi="Calibri"/>
                <w:szCs w:val="24"/>
              </w:rPr>
              <w:t>Consultant identifies</w:t>
            </w:r>
            <w:bookmarkStart w:id="0" w:name="_GoBack"/>
            <w:bookmarkEnd w:id="0"/>
            <w:r w:rsidRPr="00B91834">
              <w:rPr>
                <w:rFonts w:ascii="Calibri" w:eastAsia="Calibri" w:hAnsi="Calibri"/>
                <w:szCs w:val="24"/>
              </w:rPr>
              <w:t xml:space="preserve"> irregularities during the Drug Regimen Review, this needs to be reported to the attending physician, medical director and director of nursing in a written report.</w:t>
            </w:r>
          </w:p>
          <w:p w:rsidR="00B91834" w:rsidRPr="00B91834" w:rsidRDefault="00B91834" w:rsidP="00B91834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B91834" w:rsidRPr="00B91834" w:rsidRDefault="00B91834" w:rsidP="00B91834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B91834" w:rsidRPr="00B91834" w:rsidTr="00955058">
        <w:tc>
          <w:tcPr>
            <w:tcW w:w="6609" w:type="dxa"/>
          </w:tcPr>
          <w:p w:rsidR="00B91834" w:rsidRPr="00B91834" w:rsidRDefault="00B91834" w:rsidP="00B91834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Calibri" w:eastAsia="Calibri" w:hAnsi="Calibri"/>
                <w:szCs w:val="24"/>
              </w:rPr>
            </w:pPr>
            <w:r w:rsidRPr="00B91834">
              <w:rPr>
                <w:rFonts w:ascii="Calibri" w:eastAsia="Calibri" w:hAnsi="Calibri"/>
                <w:szCs w:val="24"/>
              </w:rPr>
              <w:t>Respite residents do not need to have a Drug Regimen Review since they are only in the building for a short time.</w:t>
            </w:r>
          </w:p>
          <w:p w:rsidR="00B91834" w:rsidRPr="00B91834" w:rsidRDefault="00B91834" w:rsidP="00B91834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B91834" w:rsidRPr="00B91834" w:rsidRDefault="00B91834" w:rsidP="00B91834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B91834" w:rsidRPr="00B91834" w:rsidTr="00955058">
        <w:tc>
          <w:tcPr>
            <w:tcW w:w="6609" w:type="dxa"/>
          </w:tcPr>
          <w:p w:rsidR="00B91834" w:rsidRPr="00B91834" w:rsidRDefault="00B91834" w:rsidP="00B91834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Calibri" w:eastAsia="Calibri" w:hAnsi="Calibri"/>
                <w:szCs w:val="24"/>
              </w:rPr>
            </w:pPr>
            <w:r w:rsidRPr="00B91834">
              <w:rPr>
                <w:rFonts w:ascii="Calibri" w:eastAsia="Calibri" w:hAnsi="Calibri"/>
                <w:szCs w:val="24"/>
              </w:rPr>
              <w:t xml:space="preserve">It is important to ensure that both the </w:t>
            </w:r>
            <w:proofErr w:type="spellStart"/>
            <w:r w:rsidRPr="00B91834">
              <w:rPr>
                <w:rFonts w:ascii="Calibri" w:eastAsia="Calibri" w:hAnsi="Calibri"/>
                <w:szCs w:val="24"/>
              </w:rPr>
              <w:t>C.N.A.’s</w:t>
            </w:r>
            <w:proofErr w:type="spellEnd"/>
            <w:r w:rsidRPr="00B91834">
              <w:rPr>
                <w:rFonts w:ascii="Calibri" w:eastAsia="Calibri" w:hAnsi="Calibri"/>
                <w:szCs w:val="24"/>
              </w:rPr>
              <w:t xml:space="preserve"> and the nurses are documenting on the resident behaviors accurately in order for the pharmacist to have good information to make decisions on recommendations for medication use and dosage changes.</w:t>
            </w:r>
          </w:p>
          <w:p w:rsidR="00B91834" w:rsidRPr="00B91834" w:rsidRDefault="00B91834" w:rsidP="00B91834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B91834" w:rsidRPr="00B91834" w:rsidRDefault="00B91834" w:rsidP="00B91834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B91834" w:rsidRPr="00B91834" w:rsidTr="00955058">
        <w:tc>
          <w:tcPr>
            <w:tcW w:w="6609" w:type="dxa"/>
          </w:tcPr>
          <w:p w:rsidR="00B91834" w:rsidRDefault="00B91834" w:rsidP="00B91834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Cs w:val="24"/>
              </w:rPr>
            </w:pPr>
            <w:r w:rsidRPr="00B91834">
              <w:rPr>
                <w:rFonts w:ascii="Calibri" w:eastAsia="Calibri" w:hAnsi="Calibri"/>
                <w:szCs w:val="24"/>
              </w:rPr>
              <w:t xml:space="preserve">I need to notify the Pharmacy Consultant within 24 hours of a resident admission, signification change in resident condition or short stay resident that would indicate a need for a medication regimen review. </w:t>
            </w:r>
          </w:p>
          <w:p w:rsidR="00B91834" w:rsidRPr="00B91834" w:rsidRDefault="00B91834" w:rsidP="00B91834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B91834" w:rsidRPr="00B91834" w:rsidRDefault="00B91834" w:rsidP="00B91834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B91834" w:rsidRPr="00B91834" w:rsidTr="00955058">
        <w:tc>
          <w:tcPr>
            <w:tcW w:w="6609" w:type="dxa"/>
          </w:tcPr>
          <w:p w:rsidR="00B91834" w:rsidRPr="00B91834" w:rsidRDefault="00B91834" w:rsidP="00B91834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Cs w:val="24"/>
              </w:rPr>
            </w:pPr>
            <w:r w:rsidRPr="00B91834">
              <w:rPr>
                <w:rFonts w:ascii="Calibri" w:eastAsia="Calibri" w:hAnsi="Calibri"/>
                <w:szCs w:val="24"/>
              </w:rPr>
              <w:t>If the physician does not agree with the recommendations of the pharmacy consultant, he/she will need</w:t>
            </w:r>
            <w:r>
              <w:rPr>
                <w:rFonts w:ascii="Calibri" w:eastAsia="Calibri" w:hAnsi="Calibri"/>
                <w:szCs w:val="24"/>
              </w:rPr>
              <w:t xml:space="preserve"> to document rationale and </w:t>
            </w:r>
            <w:r w:rsidRPr="00B91834">
              <w:rPr>
                <w:rFonts w:ascii="Calibri" w:eastAsia="Calibri" w:hAnsi="Calibri"/>
                <w:szCs w:val="24"/>
              </w:rPr>
              <w:t xml:space="preserve">this </w:t>
            </w:r>
            <w:r>
              <w:rPr>
                <w:rFonts w:ascii="Calibri" w:eastAsia="Calibri" w:hAnsi="Calibri"/>
                <w:szCs w:val="24"/>
              </w:rPr>
              <w:t>has</w:t>
            </w:r>
            <w:r w:rsidRPr="00B91834">
              <w:rPr>
                <w:rFonts w:ascii="Calibri" w:eastAsia="Calibri" w:hAnsi="Calibri"/>
                <w:szCs w:val="24"/>
              </w:rPr>
              <w:t xml:space="preserve"> to be in the medical record.</w:t>
            </w:r>
          </w:p>
          <w:p w:rsidR="00B91834" w:rsidRPr="00B91834" w:rsidRDefault="00B91834" w:rsidP="00B91834">
            <w:pPr>
              <w:ind w:left="720"/>
              <w:contextualSpacing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741" w:type="dxa"/>
          </w:tcPr>
          <w:p w:rsidR="00B91834" w:rsidRPr="00B91834" w:rsidRDefault="00B91834" w:rsidP="00B91834">
            <w:pPr>
              <w:rPr>
                <w:rFonts w:ascii="Calibri" w:eastAsia="Calibri" w:hAnsi="Calibri"/>
                <w:szCs w:val="24"/>
              </w:rPr>
            </w:pPr>
          </w:p>
        </w:tc>
      </w:tr>
    </w:tbl>
    <w:p w:rsidR="00B91834" w:rsidRPr="00B91834" w:rsidRDefault="00B91834" w:rsidP="00B91834">
      <w:pPr>
        <w:spacing w:after="200" w:line="276" w:lineRule="auto"/>
        <w:rPr>
          <w:rFonts w:ascii="Calibri" w:eastAsia="Calibri" w:hAnsi="Calibri"/>
          <w:szCs w:val="24"/>
        </w:rPr>
      </w:pPr>
    </w:p>
    <w:p w:rsidR="00B91834" w:rsidRDefault="00B91834" w:rsidP="00B91834">
      <w:pPr>
        <w:spacing w:after="200" w:line="276" w:lineRule="auto"/>
        <w:rPr>
          <w:rFonts w:ascii="Calibri" w:eastAsia="Calibri" w:hAnsi="Calibri"/>
          <w:szCs w:val="24"/>
        </w:rPr>
      </w:pPr>
      <w:r w:rsidRPr="00B91834">
        <w:rPr>
          <w:rFonts w:ascii="Calibri" w:eastAsia="Calibri" w:hAnsi="Calibri"/>
          <w:szCs w:val="24"/>
        </w:rPr>
        <w:t>Employee Printed Name_____________________________________ Date: _______________</w:t>
      </w:r>
    </w:p>
    <w:p w:rsidR="00B91834" w:rsidRPr="00B91834" w:rsidRDefault="00B91834" w:rsidP="00B91834">
      <w:pPr>
        <w:spacing w:after="200" w:line="276" w:lineRule="auto"/>
        <w:rPr>
          <w:rFonts w:ascii="Calibri" w:eastAsia="Calibri" w:hAnsi="Calibri"/>
          <w:szCs w:val="24"/>
        </w:rPr>
      </w:pPr>
    </w:p>
    <w:p w:rsidR="00B91834" w:rsidRPr="00B91834" w:rsidRDefault="00B91834" w:rsidP="00B91834">
      <w:pPr>
        <w:spacing w:after="200" w:line="276" w:lineRule="auto"/>
        <w:rPr>
          <w:rFonts w:ascii="Calibri" w:eastAsia="Calibri" w:hAnsi="Calibri"/>
          <w:szCs w:val="24"/>
        </w:rPr>
      </w:pPr>
      <w:r w:rsidRPr="00B91834">
        <w:rPr>
          <w:rFonts w:ascii="Calibri" w:eastAsia="Calibri" w:hAnsi="Calibri"/>
          <w:szCs w:val="24"/>
        </w:rPr>
        <w:t>Employee Signature: ____________________________________________________________</w:t>
      </w:r>
    </w:p>
    <w:p w:rsidR="00DE7AF9" w:rsidRPr="00B91834" w:rsidRDefault="00DE7AF9" w:rsidP="00B91834">
      <w:pPr>
        <w:spacing w:after="160" w:line="259" w:lineRule="auto"/>
        <w:rPr>
          <w:rFonts w:ascii="Calibri" w:hAnsi="Calibri"/>
          <w:b/>
          <w:szCs w:val="24"/>
        </w:rPr>
      </w:pPr>
    </w:p>
    <w:sectPr w:rsidR="00DE7AF9" w:rsidRPr="00B91834" w:rsidSect="00DE7AF9">
      <w:headerReference w:type="default" r:id="rId8"/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D2" w:rsidRDefault="00824AD2" w:rsidP="00FE158D">
      <w:r>
        <w:separator/>
      </w:r>
    </w:p>
  </w:endnote>
  <w:endnote w:type="continuationSeparator" w:id="0">
    <w:p w:rsidR="00824AD2" w:rsidRDefault="00824AD2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D2" w:rsidRDefault="00824AD2" w:rsidP="00FE158D">
      <w:r>
        <w:separator/>
      </w:r>
    </w:p>
  </w:footnote>
  <w:footnote w:type="continuationSeparator" w:id="0">
    <w:p w:rsidR="00824AD2" w:rsidRDefault="00824AD2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EF69FE"/>
    <w:multiLevelType w:val="hybridMultilevel"/>
    <w:tmpl w:val="5C08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8"/>
  </w:num>
  <w:num w:numId="24">
    <w:abstractNumId w:val="10"/>
  </w:num>
  <w:num w:numId="25">
    <w:abstractNumId w:val="18"/>
  </w:num>
  <w:num w:numId="26">
    <w:abstractNumId w:val="14"/>
  </w:num>
  <w:num w:numId="27">
    <w:abstractNumId w:val="19"/>
  </w:num>
  <w:num w:numId="28">
    <w:abstractNumId w:val="8"/>
  </w:num>
  <w:num w:numId="29">
    <w:abstractNumId w:val="23"/>
  </w:num>
  <w:num w:numId="30">
    <w:abstractNumId w:val="21"/>
  </w:num>
  <w:num w:numId="31">
    <w:abstractNumId w:val="30"/>
  </w:num>
  <w:num w:numId="32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2376A2"/>
    <w:rsid w:val="002C5F29"/>
    <w:rsid w:val="002F2B8A"/>
    <w:rsid w:val="003011C7"/>
    <w:rsid w:val="00301AA8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93E4B"/>
    <w:rsid w:val="005C0D7A"/>
    <w:rsid w:val="005F036A"/>
    <w:rsid w:val="006034EC"/>
    <w:rsid w:val="00603AC0"/>
    <w:rsid w:val="00605605"/>
    <w:rsid w:val="00610027"/>
    <w:rsid w:val="006338B1"/>
    <w:rsid w:val="006A3CC2"/>
    <w:rsid w:val="006B2ED2"/>
    <w:rsid w:val="007251EF"/>
    <w:rsid w:val="00783084"/>
    <w:rsid w:val="007A61F1"/>
    <w:rsid w:val="007F26C3"/>
    <w:rsid w:val="00805910"/>
    <w:rsid w:val="00824AD2"/>
    <w:rsid w:val="008259FB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9460A"/>
    <w:rsid w:val="00AB677E"/>
    <w:rsid w:val="00AC0FC3"/>
    <w:rsid w:val="00B019EA"/>
    <w:rsid w:val="00B24FB4"/>
    <w:rsid w:val="00B91834"/>
    <w:rsid w:val="00BB507F"/>
    <w:rsid w:val="00C0102E"/>
    <w:rsid w:val="00C170A5"/>
    <w:rsid w:val="00C71D53"/>
    <w:rsid w:val="00DB6D68"/>
    <w:rsid w:val="00DC40AB"/>
    <w:rsid w:val="00DE7AF9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A4E7F"/>
  <w15:docId w15:val="{A198A670-A327-46CF-9C3F-279B3BF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9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EC04C-60BD-4E34-A83F-4B1F786C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Susan M. LaGrange</cp:lastModifiedBy>
  <cp:revision>2</cp:revision>
  <dcterms:created xsi:type="dcterms:W3CDTF">2017-01-25T18:21:00Z</dcterms:created>
  <dcterms:modified xsi:type="dcterms:W3CDTF">2017-01-25T18:21:00Z</dcterms:modified>
</cp:coreProperties>
</file>