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499" w:rsidRDefault="00C05E5C" w:rsidP="000B19B1">
                            <w:pPr>
                              <w:jc w:val="center"/>
                              <w:rPr>
                                <w:rFonts w:ascii="Calibri" w:hAnsi="Calibri"/>
                                <w:color w:val="FFFFFF" w:themeColor="background1"/>
                                <w:sz w:val="72"/>
                              </w:rPr>
                            </w:pPr>
                            <w:r>
                              <w:rPr>
                                <w:rFonts w:ascii="Calibri" w:hAnsi="Calibri"/>
                                <w:color w:val="FFFFFF" w:themeColor="background1"/>
                                <w:sz w:val="72"/>
                              </w:rPr>
                              <w:t>Facility Assessment:</w:t>
                            </w:r>
                          </w:p>
                          <w:p w:rsidR="00C05E5C" w:rsidRPr="00301AA8" w:rsidRDefault="009942FF" w:rsidP="000B19B1">
                            <w:pPr>
                              <w:jc w:val="center"/>
                              <w:rPr>
                                <w:rFonts w:ascii="Calibri" w:hAnsi="Calibri"/>
                                <w:color w:val="FFFFFF" w:themeColor="background1"/>
                                <w:sz w:val="72"/>
                                <w14:textFill>
                                  <w14:noFill/>
                                </w14:textFill>
                              </w:rPr>
                            </w:pPr>
                            <w:r>
                              <w:rPr>
                                <w:rFonts w:ascii="Calibri" w:hAnsi="Calibri"/>
                                <w:color w:val="FFFFFF" w:themeColor="background1"/>
                                <w:sz w:val="72"/>
                              </w:rPr>
                              <w:t>Quality Assurance Performance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157499" w:rsidRDefault="00C05E5C" w:rsidP="000B19B1">
                      <w:pPr>
                        <w:jc w:val="center"/>
                        <w:rPr>
                          <w:rFonts w:ascii="Calibri" w:hAnsi="Calibri"/>
                          <w:color w:val="FFFFFF" w:themeColor="background1"/>
                          <w:sz w:val="72"/>
                        </w:rPr>
                      </w:pPr>
                      <w:r>
                        <w:rPr>
                          <w:rFonts w:ascii="Calibri" w:hAnsi="Calibri"/>
                          <w:color w:val="FFFFFF" w:themeColor="background1"/>
                          <w:sz w:val="72"/>
                        </w:rPr>
                        <w:t>Facility Assessment:</w:t>
                      </w:r>
                    </w:p>
                    <w:p w:rsidR="00C05E5C" w:rsidRPr="00301AA8" w:rsidRDefault="009942FF" w:rsidP="000B19B1">
                      <w:pPr>
                        <w:jc w:val="center"/>
                        <w:rPr>
                          <w:rFonts w:ascii="Calibri" w:hAnsi="Calibri"/>
                          <w:color w:val="FFFFFF" w:themeColor="background1"/>
                          <w:sz w:val="72"/>
                          <w14:textFill>
                            <w14:noFill/>
                          </w14:textFill>
                        </w:rPr>
                      </w:pPr>
                      <w:r>
                        <w:rPr>
                          <w:rFonts w:ascii="Calibri" w:hAnsi="Calibri"/>
                          <w:color w:val="FFFFFF" w:themeColor="background1"/>
                          <w:sz w:val="72"/>
                        </w:rPr>
                        <w:t>Quality Assurance Performance Improvement</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A770DD" w:rsidRDefault="00A770DD" w:rsidP="00023831">
      <w:pPr>
        <w:jc w:val="center"/>
        <w:rPr>
          <w:rFonts w:asciiTheme="minorHAnsi" w:hAnsiTheme="minorHAnsi"/>
          <w:b/>
          <w:sz w:val="32"/>
          <w:szCs w:val="32"/>
        </w:rPr>
      </w:pPr>
    </w:p>
    <w:p w:rsidR="00023831" w:rsidRDefault="007E47DC" w:rsidP="00023831">
      <w:pPr>
        <w:jc w:val="center"/>
        <w:rPr>
          <w:rFonts w:asciiTheme="minorHAnsi" w:hAnsiTheme="minorHAnsi"/>
          <w:b/>
          <w:sz w:val="32"/>
          <w:szCs w:val="32"/>
        </w:rPr>
      </w:pPr>
      <w:r>
        <w:rPr>
          <w:rFonts w:asciiTheme="minorHAnsi" w:hAnsiTheme="minorHAnsi"/>
          <w:b/>
          <w:sz w:val="32"/>
          <w:szCs w:val="32"/>
        </w:rPr>
        <w:t>Facility Assessment</w:t>
      </w:r>
      <w:r w:rsidR="009942FF">
        <w:rPr>
          <w:rFonts w:asciiTheme="minorHAnsi" w:hAnsiTheme="minorHAnsi"/>
          <w:b/>
          <w:sz w:val="32"/>
          <w:szCs w:val="32"/>
        </w:rPr>
        <w:t>: QAPI</w:t>
      </w:r>
      <w:r>
        <w:rPr>
          <w:rFonts w:asciiTheme="minorHAnsi" w:hAnsiTheme="minorHAnsi"/>
          <w:b/>
          <w:sz w:val="32"/>
          <w:szCs w:val="32"/>
        </w:rPr>
        <w:t xml:space="preserve"> </w:t>
      </w:r>
      <w:r w:rsidR="00DA2445">
        <w:rPr>
          <w:rFonts w:asciiTheme="minorHAnsi" w:hAnsiTheme="minorHAnsi"/>
          <w:b/>
          <w:sz w:val="32"/>
          <w:szCs w:val="32"/>
        </w:rPr>
        <w:t xml:space="preserve">Integration </w:t>
      </w:r>
    </w:p>
    <w:p w:rsidR="00A770DD" w:rsidRPr="00A770DD" w:rsidRDefault="00A770DD" w:rsidP="00023831">
      <w:pPr>
        <w:jc w:val="center"/>
        <w:rPr>
          <w:rFonts w:asciiTheme="minorHAnsi" w:hAnsiTheme="minorHAnsi"/>
          <w:b/>
          <w:sz w:val="32"/>
          <w:szCs w:val="32"/>
        </w:rPr>
      </w:pPr>
    </w:p>
    <w:p w:rsidR="00C05E5C" w:rsidRPr="00DA2445" w:rsidRDefault="00C05E5C" w:rsidP="007F1686">
      <w:pPr>
        <w:autoSpaceDE w:val="0"/>
        <w:autoSpaceDN w:val="0"/>
        <w:adjustRightInd w:val="0"/>
        <w:spacing w:line="276" w:lineRule="atLeast"/>
        <w:rPr>
          <w:rFonts w:asciiTheme="minorHAnsi" w:eastAsiaTheme="minorHAnsi" w:hAnsiTheme="minorHAnsi"/>
          <w:b/>
          <w:bCs/>
          <w:color w:val="000000"/>
          <w:szCs w:val="24"/>
        </w:rPr>
      </w:pPr>
      <w:r w:rsidRPr="00DA2445">
        <w:rPr>
          <w:rFonts w:asciiTheme="minorHAnsi" w:eastAsiaTheme="minorHAnsi" w:hAnsiTheme="minorHAnsi"/>
          <w:b/>
          <w:bCs/>
          <w:color w:val="000000"/>
          <w:szCs w:val="24"/>
        </w:rPr>
        <w:t>Reference</w:t>
      </w:r>
      <w:r w:rsidR="00D51CF4" w:rsidRPr="00DA2445">
        <w:rPr>
          <w:rFonts w:asciiTheme="minorHAnsi" w:eastAsiaTheme="minorHAnsi" w:hAnsiTheme="minorHAnsi"/>
          <w:b/>
          <w:bCs/>
          <w:color w:val="000000"/>
          <w:szCs w:val="24"/>
        </w:rPr>
        <w:t xml:space="preserve"> F Tags </w:t>
      </w:r>
    </w:p>
    <w:p w:rsidR="009942FF" w:rsidRPr="00DA2445" w:rsidRDefault="009942FF" w:rsidP="009942FF">
      <w:pPr>
        <w:autoSpaceDE w:val="0"/>
        <w:autoSpaceDN w:val="0"/>
        <w:adjustRightInd w:val="0"/>
        <w:rPr>
          <w:rFonts w:asciiTheme="minorHAnsi" w:eastAsiaTheme="minorHAnsi" w:hAnsiTheme="minorHAnsi"/>
          <w:color w:val="000000"/>
          <w:szCs w:val="24"/>
        </w:rPr>
      </w:pPr>
    </w:p>
    <w:p w:rsidR="009942FF" w:rsidRPr="00DA2445" w:rsidRDefault="009942FF" w:rsidP="009942FF">
      <w:pPr>
        <w:autoSpaceDE w:val="0"/>
        <w:autoSpaceDN w:val="0"/>
        <w:adjustRightInd w:val="0"/>
        <w:spacing w:line="276" w:lineRule="atLeast"/>
        <w:rPr>
          <w:rFonts w:asciiTheme="minorHAnsi" w:eastAsiaTheme="minorHAnsi" w:hAnsiTheme="minorHAnsi"/>
          <w:color w:val="000000"/>
          <w:szCs w:val="24"/>
        </w:rPr>
      </w:pPr>
      <w:r w:rsidRPr="00DA2445">
        <w:rPr>
          <w:rFonts w:asciiTheme="minorHAnsi" w:eastAsiaTheme="minorHAnsi" w:hAnsiTheme="minorHAnsi"/>
          <w:b/>
          <w:bCs/>
          <w:color w:val="000000"/>
          <w:szCs w:val="24"/>
        </w:rPr>
        <w:t xml:space="preserve">F838 </w:t>
      </w:r>
    </w:p>
    <w:p w:rsidR="009942FF" w:rsidRPr="00DA2445" w:rsidRDefault="009942FF" w:rsidP="00237682">
      <w:pPr>
        <w:pStyle w:val="BodyText2"/>
        <w:autoSpaceDE w:val="0"/>
        <w:autoSpaceDN w:val="0"/>
        <w:adjustRightInd w:val="0"/>
        <w:spacing w:before="0" w:after="277" w:line="276" w:lineRule="atLeast"/>
        <w:rPr>
          <w:bCs/>
          <w:sz w:val="24"/>
          <w:szCs w:val="24"/>
        </w:rPr>
      </w:pPr>
      <w:r w:rsidRPr="00DA2445">
        <w:rPr>
          <w:bCs/>
          <w:sz w:val="24"/>
          <w:szCs w:val="24"/>
        </w:rPr>
        <w:t xml:space="preserve">§483.70(e) Facility assessment. 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 The facility assessment must address or include: </w:t>
      </w:r>
    </w:p>
    <w:p w:rsidR="009942FF" w:rsidRPr="00DA2445" w:rsidRDefault="009942FF" w:rsidP="009942FF">
      <w:pPr>
        <w:autoSpaceDE w:val="0"/>
        <w:autoSpaceDN w:val="0"/>
        <w:adjustRightInd w:val="0"/>
        <w:spacing w:line="276" w:lineRule="atLeast"/>
        <w:rPr>
          <w:rFonts w:asciiTheme="minorHAnsi" w:eastAsiaTheme="minorHAnsi" w:hAnsiTheme="minorHAnsi"/>
          <w:color w:val="000000"/>
          <w:szCs w:val="24"/>
        </w:rPr>
      </w:pPr>
      <w:r w:rsidRPr="00DA2445">
        <w:rPr>
          <w:rFonts w:asciiTheme="minorHAnsi" w:eastAsiaTheme="minorHAnsi" w:hAnsiTheme="minorHAnsi"/>
          <w:b/>
          <w:bCs/>
          <w:iCs/>
          <w:color w:val="000000"/>
          <w:szCs w:val="24"/>
        </w:rPr>
        <w:t xml:space="preserve">§483.70(e)(1) The facility’s resident population, including, but not limited to, </w:t>
      </w:r>
    </w:p>
    <w:p w:rsidR="009942FF" w:rsidRPr="00DA2445" w:rsidRDefault="009942FF" w:rsidP="00237682">
      <w:pPr>
        <w:autoSpaceDE w:val="0"/>
        <w:autoSpaceDN w:val="0"/>
        <w:adjustRightInd w:val="0"/>
        <w:ind w:firstLine="36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(i) Both the number of residents and the facility’s resident capacity; </w:t>
      </w:r>
    </w:p>
    <w:p w:rsidR="009942FF" w:rsidRPr="00DA2445" w:rsidRDefault="009942FF" w:rsidP="009942FF">
      <w:pPr>
        <w:autoSpaceDE w:val="0"/>
        <w:autoSpaceDN w:val="0"/>
        <w:adjustRightInd w:val="0"/>
        <w:ind w:left="36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(ii) The care required by the resident population considering the types of diseases, conditions, physical and cognitive disabilities, overall acuity, and other pertinent facts that are present within that population; </w:t>
      </w:r>
    </w:p>
    <w:p w:rsidR="009942FF" w:rsidRPr="00DA2445" w:rsidRDefault="009942FF" w:rsidP="009942FF">
      <w:pPr>
        <w:pStyle w:val="BodyTextIndent2"/>
        <w:rPr>
          <w:rFonts w:asciiTheme="minorHAnsi" w:hAnsiTheme="minorHAnsi"/>
          <w:b w:val="0"/>
          <w:sz w:val="24"/>
          <w:szCs w:val="24"/>
        </w:rPr>
      </w:pPr>
      <w:r w:rsidRPr="00DA2445">
        <w:rPr>
          <w:rFonts w:asciiTheme="minorHAnsi" w:hAnsiTheme="minorHAnsi"/>
          <w:b w:val="0"/>
          <w:sz w:val="24"/>
          <w:szCs w:val="24"/>
        </w:rPr>
        <w:t xml:space="preserve">(iii) The staff competencies that are necessary to provide the level and types of care needed for the resident population; </w:t>
      </w:r>
    </w:p>
    <w:p w:rsidR="009942FF" w:rsidRPr="00DA2445" w:rsidRDefault="009942FF" w:rsidP="009942FF">
      <w:pPr>
        <w:autoSpaceDE w:val="0"/>
        <w:autoSpaceDN w:val="0"/>
        <w:adjustRightInd w:val="0"/>
        <w:ind w:left="36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(iv) The physical environment, equipment, services, and other physical plant considerations that are necessary to care for this population; and </w:t>
      </w:r>
    </w:p>
    <w:p w:rsidR="009942FF" w:rsidRPr="00DA2445" w:rsidRDefault="009942FF" w:rsidP="009942FF">
      <w:pPr>
        <w:autoSpaceDE w:val="0"/>
        <w:autoSpaceDN w:val="0"/>
        <w:adjustRightInd w:val="0"/>
        <w:ind w:left="36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(v) Any ethnic, cultural, or religious factors that may potentially affect the care provided by the facility, including, but not limited to, activities and food and nutrition services. </w:t>
      </w:r>
    </w:p>
    <w:p w:rsidR="009942FF" w:rsidRPr="00DA2445" w:rsidRDefault="009942FF" w:rsidP="009942FF">
      <w:pPr>
        <w:autoSpaceDE w:val="0"/>
        <w:autoSpaceDN w:val="0"/>
        <w:adjustRightInd w:val="0"/>
        <w:rPr>
          <w:rFonts w:asciiTheme="minorHAnsi" w:eastAsiaTheme="minorHAnsi" w:hAnsiTheme="minorHAnsi"/>
          <w:color w:val="000000"/>
          <w:szCs w:val="24"/>
        </w:rPr>
      </w:pPr>
    </w:p>
    <w:p w:rsidR="009942FF" w:rsidRPr="00DA2445" w:rsidRDefault="009942FF" w:rsidP="009942FF">
      <w:pPr>
        <w:autoSpaceDE w:val="0"/>
        <w:autoSpaceDN w:val="0"/>
        <w:adjustRightInd w:val="0"/>
        <w:spacing w:line="276" w:lineRule="atLeast"/>
        <w:rPr>
          <w:rFonts w:asciiTheme="minorHAnsi" w:eastAsiaTheme="minorHAnsi" w:hAnsiTheme="minorHAnsi"/>
          <w:color w:val="000000"/>
          <w:szCs w:val="24"/>
        </w:rPr>
      </w:pPr>
      <w:r w:rsidRPr="00DA2445">
        <w:rPr>
          <w:rFonts w:asciiTheme="minorHAnsi" w:eastAsiaTheme="minorHAnsi" w:hAnsiTheme="minorHAnsi"/>
          <w:b/>
          <w:bCs/>
          <w:iCs/>
          <w:color w:val="000000"/>
          <w:szCs w:val="24"/>
        </w:rPr>
        <w:t xml:space="preserve">§483.70(e)(2) The facility’s resources, including but not limited to, </w:t>
      </w:r>
    </w:p>
    <w:p w:rsidR="009942FF" w:rsidRPr="00DA2445" w:rsidRDefault="009942FF" w:rsidP="009942FF">
      <w:pPr>
        <w:autoSpaceDE w:val="0"/>
        <w:autoSpaceDN w:val="0"/>
        <w:adjustRightInd w:val="0"/>
        <w:ind w:firstLine="36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(i) All buildings and/or other physical structures and vehicles; </w:t>
      </w:r>
    </w:p>
    <w:p w:rsidR="009942FF" w:rsidRPr="00DA2445" w:rsidRDefault="009942FF" w:rsidP="009942FF">
      <w:pPr>
        <w:autoSpaceDE w:val="0"/>
        <w:autoSpaceDN w:val="0"/>
        <w:adjustRightInd w:val="0"/>
        <w:ind w:firstLine="36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(ii) Equipment (medical and non-medical); </w:t>
      </w:r>
    </w:p>
    <w:p w:rsidR="009942FF" w:rsidRPr="00DA2445" w:rsidRDefault="009942FF" w:rsidP="009942FF">
      <w:pPr>
        <w:autoSpaceDE w:val="0"/>
        <w:autoSpaceDN w:val="0"/>
        <w:adjustRightInd w:val="0"/>
        <w:spacing w:line="276" w:lineRule="atLeast"/>
        <w:ind w:left="720" w:right="492" w:hanging="36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(iii) Services provided, such as physical therapy, pharmacy, and specific rehabilitation therapies; </w:t>
      </w:r>
    </w:p>
    <w:p w:rsidR="009942FF" w:rsidRPr="00DA2445" w:rsidRDefault="009942FF" w:rsidP="009942FF">
      <w:pPr>
        <w:autoSpaceDE w:val="0"/>
        <w:autoSpaceDN w:val="0"/>
        <w:adjustRightInd w:val="0"/>
        <w:ind w:left="36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(iv) All personnel, including managers, staff (both employees and those who provide services under contract), and volunteers, as well as their education and/or training and any competencies related to resident care; </w:t>
      </w:r>
    </w:p>
    <w:p w:rsidR="009942FF" w:rsidRPr="00DA2445" w:rsidRDefault="009942FF" w:rsidP="009942FF">
      <w:pPr>
        <w:autoSpaceDE w:val="0"/>
        <w:autoSpaceDN w:val="0"/>
        <w:adjustRightInd w:val="0"/>
        <w:ind w:left="36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(v) Contracts, memorandums of understanding, or other agreements with third parties to provide services or equipment to the facility during both normal operations and emergencies; and </w:t>
      </w:r>
    </w:p>
    <w:p w:rsidR="009942FF" w:rsidRPr="00DA2445" w:rsidRDefault="009942FF" w:rsidP="009942FF">
      <w:pPr>
        <w:pStyle w:val="BodyTextIndent2"/>
        <w:spacing w:line="240" w:lineRule="auto"/>
        <w:rPr>
          <w:rFonts w:asciiTheme="minorHAnsi" w:hAnsiTheme="minorHAnsi"/>
          <w:b w:val="0"/>
          <w:sz w:val="24"/>
          <w:szCs w:val="24"/>
        </w:rPr>
      </w:pPr>
      <w:r w:rsidRPr="00DA2445">
        <w:rPr>
          <w:rFonts w:asciiTheme="minorHAnsi" w:hAnsiTheme="minorHAnsi"/>
          <w:b w:val="0"/>
          <w:sz w:val="24"/>
          <w:szCs w:val="24"/>
        </w:rPr>
        <w:t xml:space="preserve">(vi) Health information technology resources, such as systems for electronically managing patient records and electronically sharing information with other organizations. </w:t>
      </w:r>
    </w:p>
    <w:p w:rsidR="009942FF" w:rsidRPr="00DA2445" w:rsidRDefault="009942FF" w:rsidP="009942FF">
      <w:pPr>
        <w:autoSpaceDE w:val="0"/>
        <w:autoSpaceDN w:val="0"/>
        <w:adjustRightInd w:val="0"/>
        <w:rPr>
          <w:rFonts w:asciiTheme="minorHAnsi" w:eastAsiaTheme="minorHAnsi" w:hAnsiTheme="minorHAnsi"/>
          <w:color w:val="000000"/>
          <w:szCs w:val="24"/>
        </w:rPr>
      </w:pPr>
    </w:p>
    <w:p w:rsidR="009942FF" w:rsidRPr="00DA2445" w:rsidRDefault="009942FF" w:rsidP="009942FF">
      <w:pPr>
        <w:autoSpaceDE w:val="0"/>
        <w:autoSpaceDN w:val="0"/>
        <w:adjustRightInd w:val="0"/>
        <w:spacing w:after="277" w:line="276" w:lineRule="atLeast"/>
        <w:ind w:left="360" w:right="192"/>
        <w:rPr>
          <w:rFonts w:asciiTheme="minorHAnsi" w:eastAsiaTheme="minorHAnsi" w:hAnsiTheme="minorHAnsi"/>
          <w:color w:val="000000"/>
          <w:szCs w:val="24"/>
        </w:rPr>
      </w:pPr>
      <w:r w:rsidRPr="00DA2445">
        <w:rPr>
          <w:rFonts w:asciiTheme="minorHAnsi" w:eastAsiaTheme="minorHAnsi" w:hAnsiTheme="minorHAnsi"/>
          <w:b/>
          <w:bCs/>
          <w:iCs/>
          <w:color w:val="000000"/>
          <w:szCs w:val="24"/>
        </w:rPr>
        <w:lastRenderedPageBreak/>
        <w:t xml:space="preserve">§483.70(e)(3) A facility-based and community-based risk assessment, utilizing an all-hazards approach. </w:t>
      </w:r>
    </w:p>
    <w:p w:rsidR="009942FF" w:rsidRPr="00DA2445" w:rsidRDefault="009942FF" w:rsidP="009942FF">
      <w:pPr>
        <w:autoSpaceDE w:val="0"/>
        <w:autoSpaceDN w:val="0"/>
        <w:adjustRightInd w:val="0"/>
        <w:spacing w:line="276" w:lineRule="atLeast"/>
        <w:rPr>
          <w:rFonts w:asciiTheme="minorHAnsi" w:eastAsiaTheme="minorHAnsi" w:hAnsiTheme="minorHAnsi"/>
          <w:color w:val="000000"/>
          <w:szCs w:val="24"/>
        </w:rPr>
      </w:pPr>
      <w:r w:rsidRPr="00DA2445">
        <w:rPr>
          <w:rFonts w:asciiTheme="minorHAnsi" w:eastAsiaTheme="minorHAnsi" w:hAnsiTheme="minorHAnsi"/>
          <w:b/>
          <w:bCs/>
          <w:iCs/>
          <w:color w:val="000000"/>
          <w:szCs w:val="24"/>
        </w:rPr>
        <w:t xml:space="preserve">INTENT </w:t>
      </w:r>
      <w:r w:rsidRPr="00DA2445">
        <w:rPr>
          <w:rFonts w:asciiTheme="minorHAnsi" w:eastAsiaTheme="minorHAnsi" w:hAnsiTheme="minorHAnsi"/>
          <w:b/>
          <w:bCs/>
          <w:color w:val="000000"/>
          <w:szCs w:val="24"/>
        </w:rPr>
        <w:t>§483.</w:t>
      </w:r>
      <w:r w:rsidRPr="00DA2445">
        <w:rPr>
          <w:rFonts w:asciiTheme="minorHAnsi" w:eastAsiaTheme="minorHAnsi" w:hAnsiTheme="minorHAnsi"/>
          <w:b/>
          <w:bCs/>
          <w:iCs/>
          <w:color w:val="000000"/>
          <w:szCs w:val="24"/>
        </w:rPr>
        <w:t xml:space="preserve">70(e) </w:t>
      </w:r>
    </w:p>
    <w:p w:rsidR="00D51CF4" w:rsidRPr="00DA2445" w:rsidRDefault="009942FF" w:rsidP="009942FF">
      <w:pPr>
        <w:autoSpaceDE w:val="0"/>
        <w:autoSpaceDN w:val="0"/>
        <w:adjustRightInd w:val="0"/>
        <w:spacing w:line="276" w:lineRule="atLeast"/>
        <w:rPr>
          <w:rFonts w:asciiTheme="minorHAnsi" w:hAnsiTheme="minorHAnsi"/>
          <w:iCs/>
          <w:szCs w:val="24"/>
        </w:rPr>
      </w:pPr>
      <w:r w:rsidRPr="00DA2445">
        <w:rPr>
          <w:rFonts w:asciiTheme="minorHAnsi" w:eastAsiaTheme="minorHAnsi" w:hAnsiTheme="minorHAnsi"/>
          <w:iCs/>
          <w:color w:val="000000"/>
          <w:szCs w:val="24"/>
        </w:rPr>
        <w:t>The intent of the facility assessment is for the facility to evaluate its resident population and identify the resources needed to provide the necessary care and services the residents require.</w:t>
      </w:r>
    </w:p>
    <w:p w:rsidR="009942FF" w:rsidRPr="00DA2445" w:rsidRDefault="009942FF" w:rsidP="009942FF">
      <w:pPr>
        <w:autoSpaceDE w:val="0"/>
        <w:autoSpaceDN w:val="0"/>
        <w:adjustRightInd w:val="0"/>
        <w:rPr>
          <w:rFonts w:asciiTheme="minorHAnsi" w:eastAsiaTheme="minorHAnsi" w:hAnsiTheme="minorHAnsi"/>
          <w:color w:val="000000"/>
          <w:szCs w:val="24"/>
        </w:rPr>
      </w:pPr>
    </w:p>
    <w:p w:rsidR="009942FF" w:rsidRPr="00DA2445" w:rsidRDefault="009942FF" w:rsidP="009942FF">
      <w:pPr>
        <w:autoSpaceDE w:val="0"/>
        <w:autoSpaceDN w:val="0"/>
        <w:adjustRightInd w:val="0"/>
        <w:spacing w:line="276" w:lineRule="atLeast"/>
        <w:rPr>
          <w:rFonts w:asciiTheme="minorHAnsi" w:eastAsiaTheme="minorHAnsi" w:hAnsiTheme="minorHAnsi"/>
          <w:color w:val="000000"/>
          <w:szCs w:val="24"/>
        </w:rPr>
      </w:pPr>
      <w:r w:rsidRPr="00DA2445">
        <w:rPr>
          <w:rFonts w:asciiTheme="minorHAnsi" w:eastAsiaTheme="minorHAnsi" w:hAnsiTheme="minorHAnsi"/>
          <w:b/>
          <w:bCs/>
          <w:color w:val="000000"/>
          <w:szCs w:val="24"/>
        </w:rPr>
        <w:t xml:space="preserve">F865 </w:t>
      </w:r>
    </w:p>
    <w:p w:rsidR="009942FF" w:rsidRPr="00DA2445" w:rsidRDefault="009942FF" w:rsidP="009942FF">
      <w:pPr>
        <w:pStyle w:val="BodyText"/>
        <w:rPr>
          <w:rFonts w:asciiTheme="minorHAnsi" w:hAnsiTheme="minorHAnsi"/>
          <w:sz w:val="24"/>
          <w:szCs w:val="24"/>
        </w:rPr>
      </w:pPr>
      <w:r w:rsidRPr="00DA2445">
        <w:rPr>
          <w:rFonts w:asciiTheme="minorHAnsi" w:hAnsiTheme="minorHAnsi"/>
          <w:sz w:val="24"/>
          <w:szCs w:val="24"/>
        </w:rPr>
        <w:t xml:space="preserve">§483.75(a) Quality assurance and performance improvement (QAPI) program. [§483.75 and all subparts will be implemented beginning November 28, 2019 (Phase 3), unless otherwise specified] Each LTC facility, including a facility that is part of a multiunit chain, must develop, implement, and maintain an effective, comprehensive, data-driven QAPI program that focuses on indicators of the outcomes of care and quality of life. The facility must: </w:t>
      </w:r>
    </w:p>
    <w:p w:rsidR="009942FF" w:rsidRPr="00DA2445" w:rsidRDefault="009942FF" w:rsidP="009942FF">
      <w:pPr>
        <w:pStyle w:val="BodyTextIndent"/>
        <w:rPr>
          <w:rFonts w:asciiTheme="minorHAnsi" w:hAnsiTheme="minorHAnsi"/>
          <w:b w:val="0"/>
          <w:i w:val="0"/>
          <w:sz w:val="24"/>
          <w:szCs w:val="24"/>
        </w:rPr>
      </w:pPr>
      <w:r w:rsidRPr="00DA2445">
        <w:rPr>
          <w:rFonts w:asciiTheme="minorHAnsi" w:hAnsiTheme="minorHAnsi"/>
          <w:b w:val="0"/>
          <w:i w:val="0"/>
          <w:sz w:val="24"/>
          <w:szCs w:val="24"/>
        </w:rPr>
        <w:t xml:space="preserve">§483.75(a)(1) Maintain documentation and demonstrate evidence of its ongoing QAPI program that meets the requirements of this section. This may include but is not limited to systems and reports demonstrating systematic identification, reporting, investigation, analysis, and prevention of adverse events; and documentation demonstrating the development, implementation, and evaluation of corrective actions or performance improvement activities; </w:t>
      </w:r>
    </w:p>
    <w:p w:rsidR="009942FF" w:rsidRPr="00DA2445" w:rsidRDefault="009942FF" w:rsidP="009942FF">
      <w:pPr>
        <w:pStyle w:val="BodyTextIndent"/>
        <w:spacing w:after="0"/>
        <w:rPr>
          <w:rFonts w:asciiTheme="minorHAnsi" w:hAnsiTheme="minorHAnsi"/>
          <w:i w:val="0"/>
          <w:sz w:val="24"/>
          <w:szCs w:val="24"/>
        </w:rPr>
      </w:pPr>
      <w:r w:rsidRPr="00DA2445">
        <w:rPr>
          <w:rFonts w:asciiTheme="minorHAnsi" w:hAnsiTheme="minorHAnsi"/>
          <w:i w:val="0"/>
          <w:sz w:val="24"/>
          <w:szCs w:val="24"/>
        </w:rPr>
        <w:t>§483.75(a)(2) Present its QAPI plan to the State Survey Agency no later than 1 year after the promulgation of this regulation; [§483.75(a)(2) implemented November 28, 2017 (Phase 2)]</w:t>
      </w:r>
    </w:p>
    <w:p w:rsidR="009942FF" w:rsidRPr="00DA2445" w:rsidRDefault="009942FF" w:rsidP="007F1686">
      <w:pPr>
        <w:autoSpaceDE w:val="0"/>
        <w:autoSpaceDN w:val="0"/>
        <w:adjustRightInd w:val="0"/>
        <w:spacing w:line="276" w:lineRule="atLeast"/>
        <w:rPr>
          <w:rFonts w:asciiTheme="minorHAnsi" w:hAnsiTheme="minorHAnsi"/>
          <w:iCs/>
          <w:szCs w:val="24"/>
        </w:rPr>
      </w:pPr>
    </w:p>
    <w:p w:rsidR="009942FF" w:rsidRPr="00DA2445" w:rsidRDefault="009942FF" w:rsidP="009942FF">
      <w:pPr>
        <w:pStyle w:val="BlockText"/>
        <w:rPr>
          <w:rFonts w:asciiTheme="minorHAnsi" w:hAnsiTheme="minorHAnsi"/>
          <w:b w:val="0"/>
          <w:i w:val="0"/>
          <w:sz w:val="24"/>
          <w:szCs w:val="24"/>
        </w:rPr>
      </w:pPr>
      <w:r w:rsidRPr="00DA2445">
        <w:rPr>
          <w:rFonts w:asciiTheme="minorHAnsi" w:hAnsiTheme="minorHAnsi"/>
          <w:b w:val="0"/>
          <w:i w:val="0"/>
          <w:sz w:val="24"/>
          <w:szCs w:val="24"/>
        </w:rPr>
        <w:t xml:space="preserve">§483.75(a)(3) Present its QAPI plan to a State Survey Agency or Federal surveyor at each annual recertification survey and upon request during any other survey and to CMS upon request; and </w:t>
      </w:r>
    </w:p>
    <w:p w:rsidR="009942FF" w:rsidRPr="00DA2445" w:rsidRDefault="009942FF" w:rsidP="009942FF">
      <w:pPr>
        <w:autoSpaceDE w:val="0"/>
        <w:autoSpaceDN w:val="0"/>
        <w:adjustRightInd w:val="0"/>
        <w:spacing w:after="277" w:line="276" w:lineRule="atLeast"/>
        <w:ind w:left="720" w:right="412"/>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§483.75(a)(4) Present documentation and evidence of its ongoing QAPI program's implementation and the facility's compliance with requirements to a State Survey Agency, Federal surveyor or CMS upon request. </w:t>
      </w:r>
    </w:p>
    <w:p w:rsidR="009942FF" w:rsidRPr="00DA2445" w:rsidRDefault="009942FF" w:rsidP="009942FF">
      <w:pPr>
        <w:pStyle w:val="BodyTextIndent"/>
        <w:rPr>
          <w:rFonts w:asciiTheme="minorHAnsi" w:hAnsiTheme="minorHAnsi"/>
          <w:b w:val="0"/>
          <w:i w:val="0"/>
          <w:sz w:val="24"/>
          <w:szCs w:val="24"/>
        </w:rPr>
      </w:pPr>
      <w:r w:rsidRPr="00DA2445">
        <w:rPr>
          <w:rFonts w:asciiTheme="minorHAnsi" w:hAnsiTheme="minorHAnsi"/>
          <w:b w:val="0"/>
          <w:i w:val="0"/>
          <w:sz w:val="24"/>
          <w:szCs w:val="24"/>
        </w:rPr>
        <w:t xml:space="preserve">§483.75(b) Program design and scope. A facility must design its QAPI program to be ongoing, comprehensive, and to address the full range of care and services provided by the facility. It must: </w:t>
      </w:r>
    </w:p>
    <w:p w:rsidR="009942FF" w:rsidRPr="00DA2445" w:rsidRDefault="009942FF" w:rsidP="00237682">
      <w:pPr>
        <w:autoSpaceDE w:val="0"/>
        <w:autoSpaceDN w:val="0"/>
        <w:adjustRightInd w:val="0"/>
        <w:spacing w:after="120"/>
        <w:ind w:left="720" w:firstLine="72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§483.75(b)(1) Address all systems of care and management practices; </w:t>
      </w:r>
    </w:p>
    <w:p w:rsidR="009942FF" w:rsidRPr="00DA2445" w:rsidRDefault="009942FF" w:rsidP="00237682">
      <w:pPr>
        <w:autoSpaceDE w:val="0"/>
        <w:autoSpaceDN w:val="0"/>
        <w:adjustRightInd w:val="0"/>
        <w:spacing w:after="120"/>
        <w:ind w:left="720" w:firstLine="72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§483.75(b)(2) Include clinical care, quality of life, and resident choice; </w:t>
      </w:r>
    </w:p>
    <w:p w:rsidR="009942FF" w:rsidRPr="00DA2445" w:rsidRDefault="009942FF" w:rsidP="00237682">
      <w:pPr>
        <w:autoSpaceDE w:val="0"/>
        <w:autoSpaceDN w:val="0"/>
        <w:adjustRightInd w:val="0"/>
        <w:spacing w:after="120"/>
        <w:ind w:left="1440"/>
        <w:rPr>
          <w:rFonts w:asciiTheme="minorHAnsi" w:eastAsiaTheme="minorHAnsi" w:hAnsiTheme="minorHAnsi"/>
          <w:color w:val="000000"/>
          <w:szCs w:val="24"/>
        </w:rPr>
      </w:pPr>
      <w:r w:rsidRPr="00DA2445">
        <w:rPr>
          <w:rFonts w:asciiTheme="minorHAnsi" w:eastAsiaTheme="minorHAnsi" w:hAnsiTheme="minorHAnsi"/>
          <w:bCs/>
          <w:iCs/>
          <w:color w:val="000000"/>
          <w:szCs w:val="24"/>
        </w:rPr>
        <w:lastRenderedPageBreak/>
        <w:t xml:space="preserve">§483.75(b)(3) Utilize the best available evidence to define and measure indicators of quality and facility goals that reflect processes of care and facility operations that have been shown to be predictive of desired outcomes for residents of a SNF or NF. </w:t>
      </w:r>
    </w:p>
    <w:p w:rsidR="009942FF" w:rsidRPr="00DA2445" w:rsidRDefault="009942FF" w:rsidP="00237682">
      <w:pPr>
        <w:autoSpaceDE w:val="0"/>
        <w:autoSpaceDN w:val="0"/>
        <w:adjustRightInd w:val="0"/>
        <w:spacing w:after="120"/>
        <w:ind w:left="144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§483.75(b (4) Reflect the complexities, unique care, and services that the facility provides. </w:t>
      </w:r>
    </w:p>
    <w:p w:rsidR="009942FF" w:rsidRPr="00DA2445" w:rsidRDefault="009942FF" w:rsidP="00237682">
      <w:pPr>
        <w:autoSpaceDE w:val="0"/>
        <w:autoSpaceDN w:val="0"/>
        <w:adjustRightInd w:val="0"/>
        <w:spacing w:after="120"/>
        <w:ind w:left="1440" w:right="105"/>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§483.75(f) Governance and leadership. The governing body and/or executive leadership (or organized group or individual who assumes full legal authority and responsibility for operation of the facility) is responsible and accountable for ensuring that: </w:t>
      </w:r>
    </w:p>
    <w:p w:rsidR="009942FF" w:rsidRPr="00DA2445" w:rsidRDefault="009942FF" w:rsidP="00237682">
      <w:pPr>
        <w:autoSpaceDE w:val="0"/>
        <w:autoSpaceDN w:val="0"/>
        <w:adjustRightInd w:val="0"/>
        <w:spacing w:after="120"/>
        <w:ind w:left="1440" w:right="742"/>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§483.75(f)(1) An ongoing QAPI program is defined, implemented, and maintained and addresses identified priorities. </w:t>
      </w:r>
    </w:p>
    <w:p w:rsidR="009942FF" w:rsidRPr="00DA2445" w:rsidRDefault="009942FF" w:rsidP="00237682">
      <w:pPr>
        <w:autoSpaceDE w:val="0"/>
        <w:autoSpaceDN w:val="0"/>
        <w:adjustRightInd w:val="0"/>
        <w:spacing w:after="120"/>
        <w:ind w:left="144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§483.75(f)(2) The QAPI program is sustained during transitions in leadership and staffing; </w:t>
      </w:r>
    </w:p>
    <w:p w:rsidR="009942FF" w:rsidRPr="00DA2445" w:rsidRDefault="009942FF" w:rsidP="00237682">
      <w:pPr>
        <w:autoSpaceDE w:val="0"/>
        <w:autoSpaceDN w:val="0"/>
        <w:adjustRightInd w:val="0"/>
        <w:spacing w:after="120"/>
        <w:ind w:left="1440" w:right="1135"/>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§483.75(f)(3) The QAPI program is adequately resourced, including ensuring staff time, equipment, and technical training as needed; </w:t>
      </w:r>
    </w:p>
    <w:p w:rsidR="009942FF" w:rsidRPr="00DA2445" w:rsidRDefault="009942FF" w:rsidP="00237682">
      <w:pPr>
        <w:autoSpaceDE w:val="0"/>
        <w:autoSpaceDN w:val="0"/>
        <w:adjustRightInd w:val="0"/>
        <w:spacing w:after="120"/>
        <w:ind w:left="1440" w:right="305"/>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§483.75(f)(4) The QAPI program identifies and prioritizes problems and opportunities that reflect organizational process, functions, and services provided to residents based on performance indicator data, and resident and staff input, and other information. </w:t>
      </w:r>
    </w:p>
    <w:p w:rsidR="009942FF" w:rsidRPr="00DA2445" w:rsidRDefault="009942FF" w:rsidP="00237682">
      <w:pPr>
        <w:autoSpaceDE w:val="0"/>
        <w:autoSpaceDN w:val="0"/>
        <w:adjustRightInd w:val="0"/>
        <w:spacing w:after="120"/>
        <w:ind w:left="1440" w:right="105"/>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§483.75(f)(5) Corrective actions address gaps in systems, and are evaluated for effectiveness; and </w:t>
      </w:r>
    </w:p>
    <w:p w:rsidR="009942FF" w:rsidRPr="00DA2445" w:rsidRDefault="009942FF" w:rsidP="00237682">
      <w:pPr>
        <w:autoSpaceDE w:val="0"/>
        <w:autoSpaceDN w:val="0"/>
        <w:adjustRightInd w:val="0"/>
        <w:spacing w:after="120"/>
        <w:ind w:left="1440"/>
        <w:rPr>
          <w:rFonts w:asciiTheme="minorHAnsi" w:eastAsiaTheme="minorHAnsi" w:hAnsiTheme="minorHAnsi"/>
          <w:color w:val="000000"/>
          <w:szCs w:val="24"/>
        </w:rPr>
      </w:pPr>
      <w:r w:rsidRPr="00DA2445">
        <w:rPr>
          <w:rFonts w:asciiTheme="minorHAnsi" w:eastAsiaTheme="minorHAnsi" w:hAnsiTheme="minorHAnsi"/>
          <w:bCs/>
          <w:iCs/>
          <w:color w:val="000000"/>
          <w:szCs w:val="24"/>
        </w:rPr>
        <w:t xml:space="preserve">§483.75(f)(6) Clear expectations are set around safety, quality, rights, choice, and respect. </w:t>
      </w:r>
    </w:p>
    <w:p w:rsidR="009942FF" w:rsidRPr="00DA2445" w:rsidRDefault="009942FF" w:rsidP="00237682">
      <w:pPr>
        <w:autoSpaceDE w:val="0"/>
        <w:autoSpaceDN w:val="0"/>
        <w:adjustRightInd w:val="0"/>
        <w:spacing w:after="120"/>
        <w:ind w:left="720" w:firstLine="720"/>
        <w:rPr>
          <w:rFonts w:asciiTheme="minorHAnsi" w:hAnsiTheme="minorHAnsi"/>
          <w:iCs/>
          <w:szCs w:val="24"/>
        </w:rPr>
      </w:pPr>
      <w:r w:rsidRPr="00DA2445">
        <w:rPr>
          <w:rFonts w:asciiTheme="minorHAnsi" w:eastAsiaTheme="minorHAnsi" w:hAnsiTheme="minorHAnsi"/>
          <w:bCs/>
          <w:iCs/>
          <w:color w:val="000000"/>
          <w:szCs w:val="24"/>
        </w:rPr>
        <w:t>§483.75(h) Disclosure of information</w:t>
      </w:r>
      <w:r w:rsidRPr="00DA2445">
        <w:rPr>
          <w:rFonts w:asciiTheme="minorHAnsi" w:eastAsiaTheme="minorHAnsi" w:hAnsiTheme="minorHAnsi"/>
          <w:b/>
          <w:bCs/>
          <w:iCs/>
          <w:color w:val="000000"/>
          <w:szCs w:val="24"/>
        </w:rPr>
        <w:t>.</w:t>
      </w:r>
    </w:p>
    <w:p w:rsidR="009942FF" w:rsidRPr="00DA2445" w:rsidRDefault="009942FF" w:rsidP="009942FF">
      <w:pPr>
        <w:pStyle w:val="Header"/>
        <w:tabs>
          <w:tab w:val="clear" w:pos="4680"/>
          <w:tab w:val="clear" w:pos="9360"/>
        </w:tabs>
        <w:autoSpaceDE w:val="0"/>
        <w:autoSpaceDN w:val="0"/>
        <w:adjustRightInd w:val="0"/>
        <w:spacing w:line="276" w:lineRule="atLeast"/>
        <w:rPr>
          <w:rFonts w:asciiTheme="minorHAnsi" w:hAnsiTheme="minorHAnsi"/>
          <w:iCs/>
          <w:szCs w:val="24"/>
        </w:rPr>
      </w:pPr>
    </w:p>
    <w:p w:rsidR="009942FF" w:rsidRPr="000B19B1" w:rsidRDefault="00237682" w:rsidP="00237682">
      <w:pPr>
        <w:pStyle w:val="BodyText3"/>
        <w:rPr>
          <w:rFonts w:asciiTheme="minorHAnsi" w:hAnsiTheme="minorHAnsi"/>
          <w:color w:val="auto"/>
          <w:sz w:val="24"/>
          <w:szCs w:val="24"/>
        </w:rPr>
      </w:pPr>
      <w:r w:rsidRPr="000B19B1">
        <w:rPr>
          <w:rFonts w:asciiTheme="minorHAnsi" w:hAnsiTheme="minorHAnsi"/>
          <w:color w:val="auto"/>
          <w:sz w:val="24"/>
          <w:szCs w:val="24"/>
          <w:highlight w:val="lightGray"/>
        </w:rPr>
        <w:t>Each nursing home, including facilities which are a part of a multi-chain organization, should tailor its QAPI plan to reflect the specific units, programs, departments, and unique population it serves, as identified in its facility assessment.</w:t>
      </w:r>
    </w:p>
    <w:p w:rsidR="009942FF" w:rsidRPr="00DA2445" w:rsidRDefault="009942FF" w:rsidP="007F1686">
      <w:pPr>
        <w:autoSpaceDE w:val="0"/>
        <w:autoSpaceDN w:val="0"/>
        <w:adjustRightInd w:val="0"/>
        <w:spacing w:line="276" w:lineRule="atLeast"/>
        <w:rPr>
          <w:rFonts w:asciiTheme="minorHAnsi" w:hAnsiTheme="minorHAnsi"/>
          <w:iCs/>
          <w:szCs w:val="24"/>
        </w:rPr>
      </w:pPr>
    </w:p>
    <w:p w:rsidR="00D51CF4" w:rsidRPr="00DA2445" w:rsidRDefault="00237682" w:rsidP="00237682">
      <w:pPr>
        <w:autoSpaceDE w:val="0"/>
        <w:autoSpaceDN w:val="0"/>
        <w:adjustRightInd w:val="0"/>
        <w:spacing w:line="276" w:lineRule="atLeast"/>
        <w:rPr>
          <w:rFonts w:asciiTheme="minorHAnsi" w:eastAsiaTheme="minorHAnsi" w:hAnsiTheme="minorHAnsi"/>
          <w:b/>
          <w:bCs/>
          <w:iCs/>
          <w:color w:val="000000"/>
          <w:szCs w:val="24"/>
        </w:rPr>
      </w:pPr>
      <w:r w:rsidRPr="00DA2445">
        <w:rPr>
          <w:rFonts w:asciiTheme="minorHAnsi" w:eastAsiaTheme="minorHAnsi" w:hAnsiTheme="minorHAnsi"/>
          <w:b/>
          <w:bCs/>
          <w:iCs/>
          <w:color w:val="000000"/>
          <w:szCs w:val="24"/>
        </w:rPr>
        <w:t>§483.75(c)(2) Facility maintenance of effective systems to identify, collect, and use data and information from all departments</w:t>
      </w:r>
      <w:r w:rsidRPr="000B19B1">
        <w:rPr>
          <w:rFonts w:asciiTheme="minorHAnsi" w:eastAsiaTheme="minorHAnsi" w:hAnsiTheme="minorHAnsi"/>
          <w:b/>
          <w:bCs/>
          <w:iCs/>
          <w:szCs w:val="24"/>
          <w:highlight w:val="lightGray"/>
        </w:rPr>
        <w:t>, including but not limited to the facility assessment</w:t>
      </w:r>
      <w:r w:rsidRPr="000B19B1">
        <w:rPr>
          <w:rFonts w:asciiTheme="minorHAnsi" w:eastAsiaTheme="minorHAnsi" w:hAnsiTheme="minorHAnsi"/>
          <w:b/>
          <w:bCs/>
          <w:iCs/>
          <w:szCs w:val="24"/>
        </w:rPr>
        <w:t xml:space="preserve"> </w:t>
      </w:r>
      <w:r w:rsidRPr="00DA2445">
        <w:rPr>
          <w:rFonts w:asciiTheme="minorHAnsi" w:eastAsiaTheme="minorHAnsi" w:hAnsiTheme="minorHAnsi"/>
          <w:b/>
          <w:bCs/>
          <w:iCs/>
          <w:color w:val="000000"/>
          <w:szCs w:val="24"/>
        </w:rPr>
        <w:t>required at §483.70(e) and including how such information will be used to develop and monitor performance indicators.</w:t>
      </w:r>
    </w:p>
    <w:p w:rsidR="00237682" w:rsidRPr="00DA2445" w:rsidRDefault="00237682" w:rsidP="00237682">
      <w:pPr>
        <w:autoSpaceDE w:val="0"/>
        <w:autoSpaceDN w:val="0"/>
        <w:adjustRightInd w:val="0"/>
        <w:spacing w:line="276" w:lineRule="atLeast"/>
        <w:rPr>
          <w:rFonts w:asciiTheme="minorHAnsi" w:eastAsiaTheme="minorHAnsi" w:hAnsiTheme="minorHAnsi"/>
          <w:b/>
          <w:bCs/>
          <w:i/>
          <w:iCs/>
          <w:color w:val="000000"/>
          <w:szCs w:val="24"/>
        </w:rPr>
      </w:pPr>
    </w:p>
    <w:p w:rsidR="00237682" w:rsidRPr="00DA2445" w:rsidRDefault="00237682" w:rsidP="00237682">
      <w:pPr>
        <w:autoSpaceDE w:val="0"/>
        <w:autoSpaceDN w:val="0"/>
        <w:adjustRightInd w:val="0"/>
        <w:rPr>
          <w:rFonts w:asciiTheme="minorHAnsi" w:eastAsiaTheme="minorHAnsi" w:hAnsiTheme="minorHAnsi"/>
          <w:color w:val="000000"/>
          <w:szCs w:val="24"/>
        </w:rPr>
      </w:pPr>
    </w:p>
    <w:p w:rsidR="00237682" w:rsidRPr="00DA2445" w:rsidRDefault="00237682" w:rsidP="00237682">
      <w:pPr>
        <w:pStyle w:val="Default"/>
        <w:rPr>
          <w:rFonts w:asciiTheme="minorHAnsi" w:eastAsiaTheme="minorHAnsi" w:hAnsiTheme="minorHAnsi"/>
        </w:rPr>
      </w:pPr>
      <w:r w:rsidRPr="00DA2445">
        <w:rPr>
          <w:rFonts w:asciiTheme="minorHAnsi" w:eastAsiaTheme="minorHAnsi" w:hAnsiTheme="minorHAnsi"/>
          <w:b/>
          <w:bCs/>
          <w:iCs/>
        </w:rPr>
        <w:lastRenderedPageBreak/>
        <w:t xml:space="preserve">§483.75(e)(3) As part of their performance improvement activities, the facility must conduct distinct performance improvement projects. </w:t>
      </w:r>
      <w:r w:rsidRPr="000B19B1">
        <w:rPr>
          <w:rFonts w:asciiTheme="minorHAnsi" w:eastAsiaTheme="minorHAnsi" w:hAnsiTheme="minorHAnsi"/>
          <w:b/>
          <w:bCs/>
          <w:iCs/>
          <w:color w:val="auto"/>
          <w:highlight w:val="lightGray"/>
        </w:rPr>
        <w:t>The number and frequency of improvement projects conducted by the facility must reflect the scope and complexity of the facility's services and available resources, as reflected in the facility assessment</w:t>
      </w:r>
      <w:r w:rsidRPr="000B19B1">
        <w:rPr>
          <w:rFonts w:asciiTheme="minorHAnsi" w:eastAsiaTheme="minorHAnsi" w:hAnsiTheme="minorHAnsi"/>
          <w:b/>
          <w:bCs/>
          <w:iCs/>
          <w:color w:val="auto"/>
        </w:rPr>
        <w:t xml:space="preserve"> </w:t>
      </w:r>
      <w:r w:rsidRPr="00DA2445">
        <w:rPr>
          <w:rFonts w:asciiTheme="minorHAnsi" w:eastAsiaTheme="minorHAnsi" w:hAnsiTheme="minorHAnsi"/>
          <w:b/>
          <w:bCs/>
          <w:iCs/>
        </w:rPr>
        <w:t>required at §483.70(e). Improvement projects must include at least annually a project that focuses on high risk or</w:t>
      </w:r>
    </w:p>
    <w:p w:rsidR="00237682" w:rsidRPr="00DA2445" w:rsidRDefault="00237682" w:rsidP="00237682">
      <w:pPr>
        <w:autoSpaceDE w:val="0"/>
        <w:autoSpaceDN w:val="0"/>
        <w:adjustRightInd w:val="0"/>
        <w:spacing w:line="276" w:lineRule="atLeast"/>
        <w:rPr>
          <w:rFonts w:asciiTheme="minorHAnsi" w:eastAsiaTheme="minorHAnsi" w:hAnsiTheme="minorHAnsi"/>
          <w:b/>
          <w:bCs/>
          <w:iCs/>
          <w:color w:val="000000"/>
          <w:szCs w:val="24"/>
        </w:rPr>
      </w:pPr>
      <w:r w:rsidRPr="00DA2445">
        <w:rPr>
          <w:rFonts w:asciiTheme="minorHAnsi" w:eastAsiaTheme="minorHAnsi" w:hAnsiTheme="minorHAnsi"/>
          <w:b/>
          <w:bCs/>
          <w:iCs/>
          <w:color w:val="000000"/>
          <w:szCs w:val="24"/>
        </w:rPr>
        <w:t>problem-prone areas identified through the data collection and analysis described in paragraphs (c) and (d) of this section</w:t>
      </w:r>
    </w:p>
    <w:p w:rsidR="00237682" w:rsidRPr="00DA2445" w:rsidRDefault="00237682" w:rsidP="00237682">
      <w:pPr>
        <w:autoSpaceDE w:val="0"/>
        <w:autoSpaceDN w:val="0"/>
        <w:adjustRightInd w:val="0"/>
        <w:spacing w:line="276" w:lineRule="atLeast"/>
        <w:rPr>
          <w:rFonts w:asciiTheme="minorHAnsi" w:eastAsiaTheme="minorHAnsi" w:hAnsiTheme="minorHAnsi"/>
          <w:b/>
          <w:bCs/>
          <w:color w:val="000000"/>
          <w:szCs w:val="24"/>
        </w:rPr>
      </w:pPr>
    </w:p>
    <w:p w:rsidR="00D51CF4" w:rsidRPr="00DA2445" w:rsidRDefault="00D51CF4" w:rsidP="007F1686">
      <w:pPr>
        <w:autoSpaceDE w:val="0"/>
        <w:autoSpaceDN w:val="0"/>
        <w:adjustRightInd w:val="0"/>
        <w:spacing w:line="276" w:lineRule="atLeast"/>
        <w:rPr>
          <w:rFonts w:asciiTheme="minorHAnsi" w:eastAsiaTheme="minorHAnsi" w:hAnsiTheme="minorHAnsi"/>
          <w:b/>
          <w:bCs/>
          <w:color w:val="000000"/>
          <w:szCs w:val="24"/>
        </w:rPr>
      </w:pPr>
    </w:p>
    <w:p w:rsidR="00710990" w:rsidRPr="00DA2445" w:rsidRDefault="00710990" w:rsidP="00237682">
      <w:pPr>
        <w:pStyle w:val="Heading1"/>
        <w:rPr>
          <w:sz w:val="28"/>
          <w:szCs w:val="28"/>
        </w:rPr>
      </w:pPr>
      <w:r w:rsidRPr="00DA2445">
        <w:rPr>
          <w:sz w:val="28"/>
          <w:szCs w:val="28"/>
        </w:rPr>
        <w:t xml:space="preserve">INTENT OF THE </w:t>
      </w:r>
      <w:proofErr w:type="spellStart"/>
      <w:r w:rsidR="00237682" w:rsidRPr="00DA2445">
        <w:rPr>
          <w:sz w:val="28"/>
          <w:szCs w:val="28"/>
        </w:rPr>
        <w:t>QAPI</w:t>
      </w:r>
      <w:proofErr w:type="spellEnd"/>
      <w:r w:rsidR="00237682" w:rsidRPr="00DA2445">
        <w:rPr>
          <w:sz w:val="28"/>
          <w:szCs w:val="28"/>
        </w:rPr>
        <w:t xml:space="preserve"> </w:t>
      </w:r>
      <w:r w:rsidRPr="00DA2445">
        <w:rPr>
          <w:sz w:val="28"/>
          <w:szCs w:val="28"/>
        </w:rPr>
        <w:t xml:space="preserve">SECTION </w:t>
      </w:r>
    </w:p>
    <w:p w:rsidR="00710990" w:rsidRPr="00DA2445" w:rsidRDefault="00237682" w:rsidP="00237682">
      <w:pPr>
        <w:autoSpaceDE w:val="0"/>
        <w:autoSpaceDN w:val="0"/>
        <w:adjustRightInd w:val="0"/>
        <w:spacing w:before="120"/>
        <w:rPr>
          <w:rFonts w:asciiTheme="minorHAnsi" w:eastAsiaTheme="minorHAnsi" w:hAnsiTheme="minorHAnsi"/>
          <w:color w:val="000000"/>
          <w:szCs w:val="24"/>
        </w:rPr>
      </w:pPr>
      <w:r w:rsidRPr="00DA2445">
        <w:rPr>
          <w:rFonts w:asciiTheme="minorHAnsi" w:eastAsiaTheme="minorHAnsi" w:hAnsiTheme="minorHAnsi"/>
          <w:color w:val="000000"/>
          <w:szCs w:val="24"/>
        </w:rPr>
        <w:t xml:space="preserve">Each facility must have a QAPI Plan developed by November 28, 2018. The QAPI pan focus should be based on the scope and complexity of services defined by the Facility Assessment. </w:t>
      </w:r>
    </w:p>
    <w:p w:rsidR="00237682" w:rsidRPr="00DA2445" w:rsidRDefault="00237682" w:rsidP="007F1686">
      <w:pPr>
        <w:autoSpaceDE w:val="0"/>
        <w:autoSpaceDN w:val="0"/>
        <w:adjustRightInd w:val="0"/>
        <w:spacing w:line="276"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The overall intent of the review of the facility assessment for development of the QAPI plan is to identity the high risk, problem prone and high volume ar</w:t>
      </w:r>
      <w:r w:rsidR="008E34DB" w:rsidRPr="00DA2445">
        <w:rPr>
          <w:rFonts w:asciiTheme="minorHAnsi" w:eastAsiaTheme="minorHAnsi" w:hAnsiTheme="minorHAnsi"/>
          <w:bCs/>
          <w:color w:val="000000"/>
          <w:szCs w:val="24"/>
        </w:rPr>
        <w:t xml:space="preserve">eas to evaluate for improvement and </w:t>
      </w:r>
      <w:r w:rsidR="00DA2445" w:rsidRPr="00DA2445">
        <w:rPr>
          <w:rFonts w:asciiTheme="minorHAnsi" w:eastAsiaTheme="minorHAnsi" w:hAnsiTheme="minorHAnsi"/>
          <w:bCs/>
          <w:color w:val="000000"/>
          <w:szCs w:val="24"/>
        </w:rPr>
        <w:t>identify,</w:t>
      </w:r>
      <w:r w:rsidR="008E34DB" w:rsidRPr="00DA2445">
        <w:rPr>
          <w:rFonts w:asciiTheme="minorHAnsi" w:eastAsiaTheme="minorHAnsi" w:hAnsiTheme="minorHAnsi"/>
          <w:bCs/>
          <w:color w:val="000000"/>
          <w:szCs w:val="24"/>
        </w:rPr>
        <w:t xml:space="preserve"> collect and use data relevant to the unique characteristic and needs of the residents.  </w:t>
      </w:r>
      <w:r w:rsidRPr="00DA2445">
        <w:rPr>
          <w:rFonts w:asciiTheme="minorHAnsi" w:eastAsiaTheme="minorHAnsi" w:hAnsiTheme="minorHAnsi"/>
          <w:bCs/>
          <w:color w:val="000000"/>
          <w:szCs w:val="24"/>
        </w:rPr>
        <w:t xml:space="preserve"> </w:t>
      </w:r>
    </w:p>
    <w:p w:rsidR="00237682" w:rsidRPr="00DA2445" w:rsidRDefault="00237682" w:rsidP="007F1686">
      <w:pPr>
        <w:autoSpaceDE w:val="0"/>
        <w:autoSpaceDN w:val="0"/>
        <w:adjustRightInd w:val="0"/>
        <w:spacing w:line="276" w:lineRule="atLeast"/>
        <w:rPr>
          <w:rFonts w:asciiTheme="minorHAnsi" w:eastAsiaTheme="minorHAnsi" w:hAnsiTheme="minorHAnsi"/>
          <w:bCs/>
          <w:color w:val="000000"/>
          <w:szCs w:val="24"/>
        </w:rPr>
      </w:pPr>
    </w:p>
    <w:p w:rsidR="008C321C" w:rsidRPr="00DA2445" w:rsidRDefault="008E34DB" w:rsidP="008C321C">
      <w:pPr>
        <w:autoSpaceDE w:val="0"/>
        <w:autoSpaceDN w:val="0"/>
        <w:adjustRightInd w:val="0"/>
        <w:spacing w:line="276" w:lineRule="atLeast"/>
        <w:rPr>
          <w:rFonts w:asciiTheme="minorHAnsi" w:eastAsiaTheme="minorHAnsi" w:hAnsiTheme="minorHAnsi"/>
          <w:b/>
          <w:bCs/>
          <w:color w:val="000000"/>
          <w:sz w:val="28"/>
          <w:szCs w:val="28"/>
        </w:rPr>
      </w:pPr>
      <w:r w:rsidRPr="00DA2445">
        <w:rPr>
          <w:rFonts w:asciiTheme="minorHAnsi" w:eastAsiaTheme="minorHAnsi" w:hAnsiTheme="minorHAnsi"/>
          <w:b/>
          <w:bCs/>
          <w:color w:val="000000"/>
          <w:sz w:val="28"/>
          <w:szCs w:val="28"/>
        </w:rPr>
        <w:t>QAPI PLAN USING THE FACILITY ASSESSMENT</w:t>
      </w:r>
    </w:p>
    <w:p w:rsidR="00083BDB" w:rsidRPr="00DA2445" w:rsidRDefault="008E34DB" w:rsidP="008E34DB">
      <w:p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 xml:space="preserve">Development of the QAPI plan includes a description of how the plan will address the facility’s clinical care, resident quality of life and residents’ choice. Development of the QAPI plan is based on the same data used to develop the Facility Assessment. </w:t>
      </w:r>
    </w:p>
    <w:p w:rsidR="008E34DB" w:rsidRPr="00DA2445" w:rsidRDefault="008E34DB" w:rsidP="00DA2445">
      <w:pPr>
        <w:numPr>
          <w:ilvl w:val="0"/>
          <w:numId w:val="5"/>
        </w:numPr>
        <w:shd w:val="clear" w:color="auto" w:fill="FFFFFF"/>
        <w:spacing w:before="120"/>
        <w:rPr>
          <w:rFonts w:asciiTheme="minorHAnsi" w:eastAsiaTheme="minorHAnsi" w:hAnsiTheme="minorHAnsi"/>
          <w:bCs/>
          <w:color w:val="000000"/>
          <w:szCs w:val="24"/>
        </w:rPr>
      </w:pPr>
      <w:r w:rsidRPr="00DA2445">
        <w:rPr>
          <w:rFonts w:asciiTheme="minorHAnsi" w:eastAsiaTheme="minorHAnsi" w:hAnsiTheme="minorHAnsi"/>
          <w:bCs/>
          <w:color w:val="000000"/>
          <w:szCs w:val="24"/>
        </w:rPr>
        <w:t>Data used for the Facility Assessment</w:t>
      </w:r>
      <w:r w:rsidR="00585F88" w:rsidRPr="00DA2445">
        <w:rPr>
          <w:rFonts w:asciiTheme="minorHAnsi" w:eastAsiaTheme="minorHAnsi" w:hAnsiTheme="minorHAnsi"/>
          <w:bCs/>
          <w:color w:val="000000"/>
          <w:szCs w:val="24"/>
        </w:rPr>
        <w:t xml:space="preserve"> and the QAPI plan</w:t>
      </w:r>
    </w:p>
    <w:p w:rsidR="008E34DB" w:rsidRPr="00DA2445" w:rsidRDefault="008E34DB" w:rsidP="00DA2445">
      <w:pPr>
        <w:numPr>
          <w:ilvl w:val="1"/>
          <w:numId w:val="5"/>
        </w:numPr>
        <w:shd w:val="clear" w:color="auto" w:fill="FFFFFF"/>
        <w:spacing w:before="120"/>
        <w:rPr>
          <w:rFonts w:asciiTheme="minorHAnsi" w:eastAsiaTheme="minorHAnsi" w:hAnsiTheme="minorHAnsi"/>
          <w:bCs/>
          <w:color w:val="000000"/>
          <w:szCs w:val="24"/>
        </w:rPr>
      </w:pPr>
      <w:r w:rsidRPr="00DA2445">
        <w:rPr>
          <w:rFonts w:asciiTheme="minorHAnsi" w:eastAsiaTheme="minorHAnsi" w:hAnsiTheme="minorHAnsi"/>
          <w:bCs/>
          <w:color w:val="000000"/>
          <w:szCs w:val="24"/>
        </w:rPr>
        <w:t>Number of residents and resident capacity</w:t>
      </w:r>
    </w:p>
    <w:p w:rsidR="00585F88" w:rsidRPr="00DA2445" w:rsidRDefault="00585F88" w:rsidP="00DA2445">
      <w:pPr>
        <w:numPr>
          <w:ilvl w:val="2"/>
          <w:numId w:val="5"/>
        </w:numPr>
        <w:shd w:val="clear" w:color="auto" w:fill="FFFFFF"/>
        <w:spacing w:before="120"/>
        <w:rPr>
          <w:rFonts w:asciiTheme="minorHAnsi" w:eastAsiaTheme="minorHAnsi" w:hAnsiTheme="minorHAnsi"/>
          <w:bCs/>
          <w:color w:val="000000"/>
          <w:szCs w:val="24"/>
        </w:rPr>
      </w:pPr>
      <w:r w:rsidRPr="00DA2445">
        <w:rPr>
          <w:rFonts w:asciiTheme="minorHAnsi" w:eastAsiaTheme="minorHAnsi" w:hAnsiTheme="minorHAnsi"/>
          <w:bCs/>
          <w:color w:val="000000"/>
          <w:szCs w:val="24"/>
        </w:rPr>
        <w:t>Describe the census and bed capacity to define the scope and breadth of the QAPI plan</w:t>
      </w:r>
    </w:p>
    <w:p w:rsidR="008E34DB" w:rsidRPr="00DA2445" w:rsidRDefault="008E34DB" w:rsidP="008E34DB">
      <w:pPr>
        <w:numPr>
          <w:ilvl w:val="1"/>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 xml:space="preserve">Care required by the </w:t>
      </w:r>
      <w:r w:rsidR="00585F88" w:rsidRPr="00DA2445">
        <w:rPr>
          <w:rFonts w:asciiTheme="minorHAnsi" w:eastAsiaTheme="minorHAnsi" w:hAnsiTheme="minorHAnsi"/>
          <w:bCs/>
          <w:color w:val="000000"/>
          <w:szCs w:val="24"/>
        </w:rPr>
        <w:t>facility’s</w:t>
      </w:r>
      <w:r w:rsidRPr="00DA2445">
        <w:rPr>
          <w:rFonts w:asciiTheme="minorHAnsi" w:eastAsiaTheme="minorHAnsi" w:hAnsiTheme="minorHAnsi"/>
          <w:bCs/>
          <w:color w:val="000000"/>
          <w:szCs w:val="24"/>
        </w:rPr>
        <w:t xml:space="preserve"> resident population</w:t>
      </w:r>
    </w:p>
    <w:p w:rsidR="00585F88" w:rsidRPr="00DA2445" w:rsidRDefault="00585F88" w:rsidP="00585F88">
      <w:pPr>
        <w:numPr>
          <w:ilvl w:val="2"/>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 xml:space="preserve">Describe the unique characteristics of the resident populations and data, standards and benchmarks to use to monitor quality and focus improvement efforts. </w:t>
      </w:r>
    </w:p>
    <w:p w:rsidR="00585F88" w:rsidRPr="00DA2445" w:rsidRDefault="00585F88" w:rsidP="00585F88">
      <w:pPr>
        <w:numPr>
          <w:ilvl w:val="2"/>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Use the Facility Assessment information about the resident’s needs to identify the areas to monitor and measure</w:t>
      </w:r>
    </w:p>
    <w:p w:rsidR="008E34DB" w:rsidRPr="00DA2445" w:rsidRDefault="008E34DB" w:rsidP="00DA2445">
      <w:pPr>
        <w:numPr>
          <w:ilvl w:val="3"/>
          <w:numId w:val="5"/>
        </w:numPr>
        <w:shd w:val="clear" w:color="auto" w:fill="FFFFFF"/>
        <w:spacing w:before="120"/>
        <w:rPr>
          <w:rFonts w:asciiTheme="minorHAnsi" w:eastAsiaTheme="minorHAnsi" w:hAnsiTheme="minorHAnsi"/>
          <w:bCs/>
          <w:color w:val="000000"/>
          <w:szCs w:val="24"/>
        </w:rPr>
      </w:pPr>
      <w:r w:rsidRPr="00DA2445">
        <w:rPr>
          <w:rFonts w:asciiTheme="minorHAnsi" w:eastAsiaTheme="minorHAnsi" w:hAnsiTheme="minorHAnsi"/>
          <w:bCs/>
          <w:color w:val="000000"/>
          <w:szCs w:val="24"/>
        </w:rPr>
        <w:t>Diseases and conditions</w:t>
      </w:r>
    </w:p>
    <w:p w:rsidR="008E34DB" w:rsidRPr="00DA2445" w:rsidRDefault="008E34DB" w:rsidP="00DA2445">
      <w:pPr>
        <w:numPr>
          <w:ilvl w:val="3"/>
          <w:numId w:val="5"/>
        </w:numPr>
        <w:shd w:val="clear" w:color="auto" w:fill="FFFFFF"/>
        <w:spacing w:before="120"/>
        <w:rPr>
          <w:rFonts w:asciiTheme="minorHAnsi" w:eastAsiaTheme="minorHAnsi" w:hAnsiTheme="minorHAnsi"/>
          <w:bCs/>
          <w:color w:val="000000"/>
          <w:szCs w:val="24"/>
        </w:rPr>
      </w:pPr>
      <w:r w:rsidRPr="00DA2445">
        <w:rPr>
          <w:rFonts w:asciiTheme="minorHAnsi" w:eastAsiaTheme="minorHAnsi" w:hAnsiTheme="minorHAnsi"/>
          <w:bCs/>
          <w:color w:val="000000"/>
          <w:szCs w:val="24"/>
        </w:rPr>
        <w:t>Physical and cognitive disabilities</w:t>
      </w:r>
    </w:p>
    <w:p w:rsidR="008E34DB" w:rsidRPr="00DA2445" w:rsidRDefault="008E34DB" w:rsidP="00DA2445">
      <w:pPr>
        <w:numPr>
          <w:ilvl w:val="3"/>
          <w:numId w:val="5"/>
        </w:numPr>
        <w:shd w:val="clear" w:color="auto" w:fill="FFFFFF"/>
        <w:spacing w:before="120"/>
        <w:rPr>
          <w:rFonts w:asciiTheme="minorHAnsi" w:eastAsiaTheme="minorHAnsi" w:hAnsiTheme="minorHAnsi"/>
          <w:bCs/>
          <w:color w:val="000000"/>
          <w:szCs w:val="24"/>
        </w:rPr>
      </w:pPr>
      <w:r w:rsidRPr="00DA2445">
        <w:rPr>
          <w:rFonts w:asciiTheme="minorHAnsi" w:eastAsiaTheme="minorHAnsi" w:hAnsiTheme="minorHAnsi"/>
          <w:bCs/>
          <w:color w:val="000000"/>
          <w:szCs w:val="24"/>
        </w:rPr>
        <w:lastRenderedPageBreak/>
        <w:t>Overall acuity</w:t>
      </w:r>
    </w:p>
    <w:p w:rsidR="008E34DB" w:rsidRPr="00DA2445" w:rsidRDefault="008E34DB" w:rsidP="00DA2445">
      <w:pPr>
        <w:numPr>
          <w:ilvl w:val="3"/>
          <w:numId w:val="5"/>
        </w:numPr>
        <w:shd w:val="clear" w:color="auto" w:fill="FFFFFF"/>
        <w:spacing w:before="120"/>
        <w:rPr>
          <w:rFonts w:asciiTheme="minorHAnsi" w:eastAsiaTheme="minorHAnsi" w:hAnsiTheme="minorHAnsi"/>
          <w:bCs/>
          <w:color w:val="000000"/>
          <w:szCs w:val="24"/>
        </w:rPr>
      </w:pPr>
      <w:r w:rsidRPr="00DA2445">
        <w:rPr>
          <w:rFonts w:asciiTheme="minorHAnsi" w:eastAsiaTheme="minorHAnsi" w:hAnsiTheme="minorHAnsi"/>
          <w:bCs/>
          <w:color w:val="000000"/>
          <w:szCs w:val="24"/>
        </w:rPr>
        <w:t xml:space="preserve">Other </w:t>
      </w:r>
      <w:r w:rsidR="00585F88" w:rsidRPr="00DA2445">
        <w:rPr>
          <w:rFonts w:asciiTheme="minorHAnsi" w:eastAsiaTheme="minorHAnsi" w:hAnsiTheme="minorHAnsi"/>
          <w:bCs/>
          <w:color w:val="000000"/>
          <w:szCs w:val="24"/>
        </w:rPr>
        <w:t>pertinent</w:t>
      </w:r>
      <w:r w:rsidRPr="00DA2445">
        <w:rPr>
          <w:rFonts w:asciiTheme="minorHAnsi" w:eastAsiaTheme="minorHAnsi" w:hAnsiTheme="minorHAnsi"/>
          <w:bCs/>
          <w:color w:val="000000"/>
          <w:szCs w:val="24"/>
        </w:rPr>
        <w:t xml:space="preserve"> facts</w:t>
      </w:r>
    </w:p>
    <w:p w:rsidR="008E34DB" w:rsidRPr="00DA2445" w:rsidRDefault="008E34DB" w:rsidP="008E34DB">
      <w:pPr>
        <w:numPr>
          <w:ilvl w:val="1"/>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Staff competencies</w:t>
      </w:r>
    </w:p>
    <w:p w:rsidR="00585F88" w:rsidRPr="00DA2445" w:rsidRDefault="00585F88" w:rsidP="00585F88">
      <w:pPr>
        <w:numPr>
          <w:ilvl w:val="2"/>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Describe in the QAPI plan the methods to validate and update staff competencies at the time of hire and periodically</w:t>
      </w:r>
    </w:p>
    <w:p w:rsidR="00585F88" w:rsidRPr="00DA2445" w:rsidRDefault="00585F88" w:rsidP="00585F88">
      <w:pPr>
        <w:numPr>
          <w:ilvl w:val="3"/>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Routine monitoring of competencies as a measure of care quality</w:t>
      </w:r>
    </w:p>
    <w:p w:rsidR="00585F88" w:rsidRPr="00DA2445" w:rsidRDefault="00585F88" w:rsidP="00585F88">
      <w:pPr>
        <w:numPr>
          <w:ilvl w:val="3"/>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Competency testing to identify gaps in knowledge, skills and abilities when there are identified issues, adverse outcomes or measures that exceed desired benchmarks</w:t>
      </w:r>
    </w:p>
    <w:p w:rsidR="008E34DB" w:rsidRPr="00DA2445" w:rsidRDefault="008E34DB" w:rsidP="008E34DB">
      <w:pPr>
        <w:numPr>
          <w:ilvl w:val="1"/>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Physical environment</w:t>
      </w:r>
      <w:r w:rsidRPr="00DA2445">
        <w:rPr>
          <w:rFonts w:asciiTheme="minorHAnsi" w:eastAsiaTheme="minorHAnsi" w:hAnsiTheme="minorHAnsi"/>
          <w:bCs/>
          <w:color w:val="000000"/>
          <w:szCs w:val="24"/>
        </w:rPr>
        <w:tab/>
      </w:r>
    </w:p>
    <w:p w:rsidR="00585F88" w:rsidRPr="00DA2445" w:rsidRDefault="00585F88" w:rsidP="00585F88">
      <w:pPr>
        <w:numPr>
          <w:ilvl w:val="2"/>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The QAPI plan must encompass all aspects of the facility’s operations. Include processes for monitoring and improving aspects of the physical environment on a routine basis and when there are identified issues, or adverse outcomes.</w:t>
      </w:r>
    </w:p>
    <w:p w:rsidR="008E34DB" w:rsidRPr="00DA2445" w:rsidRDefault="008E34DB" w:rsidP="00DA2445">
      <w:pPr>
        <w:numPr>
          <w:ilvl w:val="3"/>
          <w:numId w:val="5"/>
        </w:numPr>
        <w:shd w:val="clear" w:color="auto" w:fill="FFFFFF"/>
        <w:spacing w:before="120"/>
        <w:rPr>
          <w:rFonts w:asciiTheme="minorHAnsi" w:eastAsiaTheme="minorHAnsi" w:hAnsiTheme="minorHAnsi"/>
          <w:bCs/>
          <w:color w:val="000000"/>
          <w:szCs w:val="24"/>
        </w:rPr>
      </w:pPr>
      <w:r w:rsidRPr="00DA2445">
        <w:rPr>
          <w:rFonts w:asciiTheme="minorHAnsi" w:eastAsiaTheme="minorHAnsi" w:hAnsiTheme="minorHAnsi"/>
          <w:bCs/>
          <w:color w:val="000000"/>
          <w:szCs w:val="24"/>
        </w:rPr>
        <w:t xml:space="preserve">Equipment </w:t>
      </w:r>
    </w:p>
    <w:p w:rsidR="008E34DB" w:rsidRPr="00DA2445" w:rsidRDefault="008E34DB" w:rsidP="00DA2445">
      <w:pPr>
        <w:numPr>
          <w:ilvl w:val="3"/>
          <w:numId w:val="5"/>
        </w:numPr>
        <w:shd w:val="clear" w:color="auto" w:fill="FFFFFF"/>
        <w:spacing w:before="120"/>
        <w:rPr>
          <w:rFonts w:asciiTheme="minorHAnsi" w:eastAsiaTheme="minorHAnsi" w:hAnsiTheme="minorHAnsi"/>
          <w:bCs/>
          <w:color w:val="000000"/>
          <w:szCs w:val="24"/>
        </w:rPr>
      </w:pPr>
      <w:r w:rsidRPr="00DA2445">
        <w:rPr>
          <w:rFonts w:asciiTheme="minorHAnsi" w:eastAsiaTheme="minorHAnsi" w:hAnsiTheme="minorHAnsi"/>
          <w:bCs/>
          <w:color w:val="000000"/>
          <w:szCs w:val="24"/>
        </w:rPr>
        <w:t>Services</w:t>
      </w:r>
    </w:p>
    <w:p w:rsidR="008E34DB" w:rsidRPr="00DA2445" w:rsidRDefault="008E34DB" w:rsidP="00DA2445">
      <w:pPr>
        <w:numPr>
          <w:ilvl w:val="3"/>
          <w:numId w:val="5"/>
        </w:numPr>
        <w:shd w:val="clear" w:color="auto" w:fill="FFFFFF"/>
        <w:spacing w:before="120"/>
        <w:rPr>
          <w:rFonts w:asciiTheme="minorHAnsi" w:eastAsiaTheme="minorHAnsi" w:hAnsiTheme="minorHAnsi"/>
          <w:bCs/>
          <w:color w:val="000000"/>
          <w:szCs w:val="24"/>
        </w:rPr>
      </w:pPr>
      <w:r w:rsidRPr="00DA2445">
        <w:rPr>
          <w:rFonts w:asciiTheme="minorHAnsi" w:eastAsiaTheme="minorHAnsi" w:hAnsiTheme="minorHAnsi"/>
          <w:bCs/>
          <w:color w:val="000000"/>
          <w:szCs w:val="24"/>
        </w:rPr>
        <w:t>Other physical plan considerations</w:t>
      </w:r>
    </w:p>
    <w:p w:rsidR="008E34DB" w:rsidRPr="00DA2445" w:rsidRDefault="008E34DB" w:rsidP="008E34DB">
      <w:pPr>
        <w:numPr>
          <w:ilvl w:val="1"/>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Ethnic, cultural and religious considerations</w:t>
      </w:r>
    </w:p>
    <w:p w:rsidR="00585F88" w:rsidRPr="00DA2445" w:rsidRDefault="00585F88" w:rsidP="00585F88">
      <w:pPr>
        <w:numPr>
          <w:ilvl w:val="2"/>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 xml:space="preserve">The QAPI Plan encompasses resident quality of life. Ensure that residents provide input into the QAPI Plan to prioritize the areas to monitor and measure that reflect the resident’s preferences, ethnic, cultural and religious considerations.  </w:t>
      </w:r>
    </w:p>
    <w:p w:rsidR="008E34DB" w:rsidRPr="00DA2445" w:rsidRDefault="008E34DB" w:rsidP="008E34DB">
      <w:pPr>
        <w:numPr>
          <w:ilvl w:val="1"/>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Facility Resources</w:t>
      </w:r>
    </w:p>
    <w:p w:rsidR="00AF2756" w:rsidRPr="00DA2445" w:rsidRDefault="00AF2756" w:rsidP="008E34DB">
      <w:pPr>
        <w:numPr>
          <w:ilvl w:val="2"/>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 xml:space="preserve">One aspect of the QAPI plan is to </w:t>
      </w:r>
      <w:r w:rsidR="00DA2445" w:rsidRPr="00DA2445">
        <w:rPr>
          <w:rFonts w:asciiTheme="minorHAnsi" w:eastAsiaTheme="minorHAnsi" w:hAnsiTheme="minorHAnsi"/>
          <w:bCs/>
          <w:color w:val="000000"/>
          <w:szCs w:val="24"/>
        </w:rPr>
        <w:t>improve areas</w:t>
      </w:r>
      <w:r w:rsidRPr="00DA2445">
        <w:rPr>
          <w:rFonts w:asciiTheme="minorHAnsi" w:eastAsiaTheme="minorHAnsi" w:hAnsiTheme="minorHAnsi"/>
          <w:bCs/>
          <w:color w:val="000000"/>
          <w:szCs w:val="24"/>
        </w:rPr>
        <w:t xml:space="preserve"> where there are issues, adverse events or quality measured at a lower than desired benchmark. Routine review of the physical structures, </w:t>
      </w:r>
      <w:r w:rsidR="00DA2445" w:rsidRPr="00DA2445">
        <w:rPr>
          <w:rFonts w:asciiTheme="minorHAnsi" w:eastAsiaTheme="minorHAnsi" w:hAnsiTheme="minorHAnsi"/>
          <w:bCs/>
          <w:color w:val="000000"/>
          <w:szCs w:val="24"/>
        </w:rPr>
        <w:t>buildings and</w:t>
      </w:r>
      <w:r w:rsidRPr="00DA2445">
        <w:rPr>
          <w:rFonts w:asciiTheme="minorHAnsi" w:eastAsiaTheme="minorHAnsi" w:hAnsiTheme="minorHAnsi"/>
          <w:bCs/>
          <w:color w:val="000000"/>
          <w:szCs w:val="24"/>
        </w:rPr>
        <w:t xml:space="preserve"> vehicles can establish the baseline for the facility structures and identify and investigate problems using root cause analysis. </w:t>
      </w:r>
    </w:p>
    <w:p w:rsidR="00AF2756" w:rsidRPr="00DA2445" w:rsidRDefault="008E34DB" w:rsidP="00AF2756">
      <w:pPr>
        <w:numPr>
          <w:ilvl w:val="3"/>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Buildings and physical structures and vehicles</w:t>
      </w:r>
    </w:p>
    <w:p w:rsidR="008E34DB" w:rsidRPr="00DA2445" w:rsidRDefault="00AF2756" w:rsidP="00AF2756">
      <w:pPr>
        <w:numPr>
          <w:ilvl w:val="3"/>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lastRenderedPageBreak/>
        <w:t>Preventive maintenance is part of quality assurance. When there are identified issues or an improvement is desired the facility will use the performance improvement process as described by the QAPI plan to address e</w:t>
      </w:r>
      <w:r w:rsidR="008E34DB" w:rsidRPr="00DA2445">
        <w:rPr>
          <w:rFonts w:asciiTheme="minorHAnsi" w:eastAsiaTheme="minorHAnsi" w:hAnsiTheme="minorHAnsi"/>
          <w:bCs/>
          <w:color w:val="000000"/>
          <w:szCs w:val="24"/>
        </w:rPr>
        <w:t xml:space="preserve">quipment, </w:t>
      </w:r>
      <w:r w:rsidRPr="00DA2445">
        <w:rPr>
          <w:rFonts w:asciiTheme="minorHAnsi" w:eastAsiaTheme="minorHAnsi" w:hAnsiTheme="minorHAnsi"/>
          <w:bCs/>
          <w:color w:val="000000"/>
          <w:szCs w:val="24"/>
        </w:rPr>
        <w:t xml:space="preserve">both </w:t>
      </w:r>
      <w:r w:rsidR="008E34DB" w:rsidRPr="00DA2445">
        <w:rPr>
          <w:rFonts w:asciiTheme="minorHAnsi" w:eastAsiaTheme="minorHAnsi" w:hAnsiTheme="minorHAnsi"/>
          <w:bCs/>
          <w:color w:val="000000"/>
          <w:szCs w:val="24"/>
        </w:rPr>
        <w:t>medical and non-medical</w:t>
      </w:r>
      <w:r w:rsidRPr="00DA2445">
        <w:rPr>
          <w:rFonts w:asciiTheme="minorHAnsi" w:eastAsiaTheme="minorHAnsi" w:hAnsiTheme="minorHAnsi"/>
          <w:bCs/>
          <w:color w:val="000000"/>
          <w:szCs w:val="24"/>
        </w:rPr>
        <w:t>.</w:t>
      </w:r>
    </w:p>
    <w:p w:rsidR="008E34DB" w:rsidRPr="00DA2445" w:rsidRDefault="008E34DB" w:rsidP="008E34DB">
      <w:pPr>
        <w:numPr>
          <w:ilvl w:val="2"/>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Services provided under contract</w:t>
      </w:r>
    </w:p>
    <w:p w:rsidR="00AF2756" w:rsidRPr="00DA2445" w:rsidRDefault="00AF2756" w:rsidP="00AF2756">
      <w:pPr>
        <w:numPr>
          <w:ilvl w:val="3"/>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The contracted service providers should participate in the QAPI process but contributing data and information and collaborating for root cause analysis and performance improvement. Describe the roles of the major contracted providers in the QAPI plan.</w:t>
      </w:r>
    </w:p>
    <w:p w:rsidR="00AF2756" w:rsidRPr="00DA2445" w:rsidRDefault="00AF2756" w:rsidP="00DA2445">
      <w:pPr>
        <w:numPr>
          <w:ilvl w:val="3"/>
          <w:numId w:val="5"/>
        </w:numPr>
        <w:shd w:val="clear" w:color="auto" w:fill="FFFFFF"/>
        <w:spacing w:after="270"/>
        <w:rPr>
          <w:rFonts w:asciiTheme="minorHAnsi" w:eastAsiaTheme="minorHAnsi" w:hAnsiTheme="minorHAnsi"/>
          <w:bCs/>
          <w:color w:val="000000"/>
          <w:szCs w:val="24"/>
        </w:rPr>
      </w:pPr>
      <w:r w:rsidRPr="00DA2445">
        <w:rPr>
          <w:rFonts w:asciiTheme="minorHAnsi" w:eastAsiaTheme="minorHAnsi" w:hAnsiTheme="minorHAnsi"/>
          <w:bCs/>
          <w:color w:val="000000"/>
          <w:szCs w:val="24"/>
        </w:rPr>
        <w:t>Review the contracts and letters of agreement for contracted service providers to ensure that they are obligated to participate in QAPI. Providers may include:</w:t>
      </w:r>
    </w:p>
    <w:p w:rsidR="008E34DB" w:rsidRPr="00DA2445" w:rsidRDefault="008E34DB" w:rsidP="00DA2445">
      <w:pPr>
        <w:numPr>
          <w:ilvl w:val="4"/>
          <w:numId w:val="5"/>
        </w:numPr>
        <w:shd w:val="clear" w:color="auto" w:fill="FFFFFF"/>
        <w:rPr>
          <w:rFonts w:asciiTheme="minorHAnsi" w:eastAsiaTheme="minorHAnsi" w:hAnsiTheme="minorHAnsi"/>
          <w:bCs/>
          <w:color w:val="000000"/>
          <w:szCs w:val="24"/>
        </w:rPr>
      </w:pPr>
      <w:r w:rsidRPr="00DA2445">
        <w:rPr>
          <w:rFonts w:asciiTheme="minorHAnsi" w:eastAsiaTheme="minorHAnsi" w:hAnsiTheme="minorHAnsi"/>
          <w:bCs/>
          <w:color w:val="000000"/>
          <w:szCs w:val="24"/>
        </w:rPr>
        <w:t>Physical Therapy</w:t>
      </w:r>
    </w:p>
    <w:p w:rsidR="008E34DB" w:rsidRPr="00DA2445" w:rsidRDefault="008E34DB" w:rsidP="00DA2445">
      <w:pPr>
        <w:numPr>
          <w:ilvl w:val="4"/>
          <w:numId w:val="5"/>
        </w:numPr>
        <w:shd w:val="clear" w:color="auto" w:fill="FFFFFF"/>
        <w:rPr>
          <w:rFonts w:asciiTheme="minorHAnsi" w:eastAsiaTheme="minorHAnsi" w:hAnsiTheme="minorHAnsi"/>
          <w:bCs/>
          <w:color w:val="000000"/>
          <w:szCs w:val="24"/>
        </w:rPr>
      </w:pPr>
      <w:r w:rsidRPr="00DA2445">
        <w:rPr>
          <w:rFonts w:asciiTheme="minorHAnsi" w:eastAsiaTheme="minorHAnsi" w:hAnsiTheme="minorHAnsi"/>
          <w:bCs/>
          <w:color w:val="000000"/>
          <w:szCs w:val="24"/>
        </w:rPr>
        <w:t>Pharmacy</w:t>
      </w:r>
    </w:p>
    <w:p w:rsidR="008E34DB" w:rsidRPr="00DA2445" w:rsidRDefault="008E34DB" w:rsidP="00DA2445">
      <w:pPr>
        <w:numPr>
          <w:ilvl w:val="4"/>
          <w:numId w:val="5"/>
        </w:numPr>
        <w:shd w:val="clear" w:color="auto" w:fill="FFFFFF"/>
        <w:rPr>
          <w:rFonts w:asciiTheme="minorHAnsi" w:eastAsiaTheme="minorHAnsi" w:hAnsiTheme="minorHAnsi"/>
          <w:bCs/>
          <w:color w:val="000000"/>
          <w:szCs w:val="24"/>
        </w:rPr>
      </w:pPr>
      <w:r w:rsidRPr="00DA2445">
        <w:rPr>
          <w:rFonts w:asciiTheme="minorHAnsi" w:eastAsiaTheme="minorHAnsi" w:hAnsiTheme="minorHAnsi"/>
          <w:bCs/>
          <w:color w:val="000000"/>
          <w:szCs w:val="24"/>
        </w:rPr>
        <w:t>Other rehab services</w:t>
      </w:r>
    </w:p>
    <w:p w:rsidR="00AF2756" w:rsidRPr="00DA2445" w:rsidRDefault="00AF2756" w:rsidP="00DA2445">
      <w:pPr>
        <w:numPr>
          <w:ilvl w:val="4"/>
          <w:numId w:val="5"/>
        </w:numPr>
        <w:shd w:val="clear" w:color="auto" w:fill="FFFFFF"/>
        <w:rPr>
          <w:rFonts w:asciiTheme="minorHAnsi" w:eastAsiaTheme="minorHAnsi" w:hAnsiTheme="minorHAnsi"/>
          <w:bCs/>
          <w:color w:val="000000"/>
          <w:szCs w:val="24"/>
        </w:rPr>
      </w:pPr>
      <w:r w:rsidRPr="00DA2445">
        <w:rPr>
          <w:rFonts w:asciiTheme="minorHAnsi" w:eastAsiaTheme="minorHAnsi" w:hAnsiTheme="minorHAnsi"/>
          <w:bCs/>
          <w:color w:val="000000"/>
          <w:szCs w:val="24"/>
        </w:rPr>
        <w:t>Dentist</w:t>
      </w:r>
    </w:p>
    <w:p w:rsidR="00AF2756" w:rsidRPr="00DA2445" w:rsidRDefault="00AF2756" w:rsidP="00DA2445">
      <w:pPr>
        <w:numPr>
          <w:ilvl w:val="4"/>
          <w:numId w:val="5"/>
        </w:numPr>
        <w:shd w:val="clear" w:color="auto" w:fill="FFFFFF"/>
        <w:rPr>
          <w:rFonts w:asciiTheme="minorHAnsi" w:eastAsiaTheme="minorHAnsi" w:hAnsiTheme="minorHAnsi"/>
          <w:bCs/>
          <w:color w:val="000000"/>
          <w:szCs w:val="24"/>
        </w:rPr>
      </w:pPr>
      <w:r w:rsidRPr="00DA2445">
        <w:rPr>
          <w:rFonts w:asciiTheme="minorHAnsi" w:eastAsiaTheme="minorHAnsi" w:hAnsiTheme="minorHAnsi"/>
          <w:bCs/>
          <w:color w:val="000000"/>
          <w:szCs w:val="24"/>
        </w:rPr>
        <w:t>Podiatrist</w:t>
      </w:r>
    </w:p>
    <w:p w:rsidR="00AF2756" w:rsidRPr="00DA2445" w:rsidRDefault="00AF2756" w:rsidP="00DA2445">
      <w:pPr>
        <w:numPr>
          <w:ilvl w:val="4"/>
          <w:numId w:val="5"/>
        </w:numPr>
        <w:shd w:val="clear" w:color="auto" w:fill="FFFFFF"/>
        <w:rPr>
          <w:rFonts w:asciiTheme="minorHAnsi" w:eastAsiaTheme="minorHAnsi" w:hAnsiTheme="minorHAnsi"/>
          <w:bCs/>
          <w:color w:val="000000"/>
          <w:szCs w:val="24"/>
        </w:rPr>
      </w:pPr>
      <w:r w:rsidRPr="00DA2445">
        <w:rPr>
          <w:rFonts w:asciiTheme="minorHAnsi" w:eastAsiaTheme="minorHAnsi" w:hAnsiTheme="minorHAnsi"/>
          <w:bCs/>
          <w:color w:val="000000"/>
          <w:szCs w:val="24"/>
        </w:rPr>
        <w:t>Hospice</w:t>
      </w:r>
    </w:p>
    <w:p w:rsidR="00AF2756" w:rsidRDefault="00AF2756" w:rsidP="000B19B1">
      <w:pPr>
        <w:numPr>
          <w:ilvl w:val="4"/>
          <w:numId w:val="5"/>
        </w:numPr>
        <w:shd w:val="clear" w:color="auto" w:fill="FFFFFF"/>
        <w:rPr>
          <w:rFonts w:asciiTheme="minorHAnsi" w:eastAsiaTheme="minorHAnsi" w:hAnsiTheme="minorHAnsi"/>
          <w:bCs/>
          <w:color w:val="000000"/>
          <w:szCs w:val="24"/>
        </w:rPr>
      </w:pPr>
      <w:r w:rsidRPr="00DA2445">
        <w:rPr>
          <w:rFonts w:asciiTheme="minorHAnsi" w:eastAsiaTheme="minorHAnsi" w:hAnsiTheme="minorHAnsi"/>
          <w:bCs/>
          <w:color w:val="000000"/>
          <w:szCs w:val="24"/>
        </w:rPr>
        <w:t>Diagnostic services</w:t>
      </w:r>
    </w:p>
    <w:p w:rsidR="000B19B1" w:rsidRPr="000B19B1" w:rsidRDefault="000B19B1" w:rsidP="000B19B1">
      <w:pPr>
        <w:shd w:val="clear" w:color="auto" w:fill="FFFFFF"/>
        <w:ind w:left="3600"/>
        <w:rPr>
          <w:rFonts w:asciiTheme="minorHAnsi" w:eastAsiaTheme="minorHAnsi" w:hAnsiTheme="minorHAnsi"/>
          <w:bCs/>
          <w:color w:val="000000"/>
          <w:szCs w:val="24"/>
        </w:rPr>
      </w:pPr>
    </w:p>
    <w:p w:rsidR="008E34DB" w:rsidRPr="00DA2445" w:rsidRDefault="008E34DB" w:rsidP="008E34DB">
      <w:pPr>
        <w:numPr>
          <w:ilvl w:val="2"/>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Facility personnel</w:t>
      </w:r>
    </w:p>
    <w:p w:rsidR="008E34DB" w:rsidRPr="00DA2445" w:rsidRDefault="00AF2756" w:rsidP="008E34DB">
      <w:pPr>
        <w:numPr>
          <w:ilvl w:val="3"/>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 xml:space="preserve">The Facility Assessment identifies the </w:t>
      </w:r>
      <w:r w:rsidR="00DA2445" w:rsidRPr="00DA2445">
        <w:rPr>
          <w:rFonts w:asciiTheme="minorHAnsi" w:eastAsiaTheme="minorHAnsi" w:hAnsiTheme="minorHAnsi"/>
          <w:bCs/>
          <w:color w:val="000000"/>
          <w:szCs w:val="24"/>
        </w:rPr>
        <w:t>numbers,</w:t>
      </w:r>
      <w:r w:rsidRPr="00DA2445">
        <w:rPr>
          <w:rFonts w:asciiTheme="minorHAnsi" w:eastAsiaTheme="minorHAnsi" w:hAnsiTheme="minorHAnsi"/>
          <w:bCs/>
          <w:color w:val="000000"/>
          <w:szCs w:val="24"/>
        </w:rPr>
        <w:t xml:space="preserve"> credentials and competencies needed to meet the needs of the facility resident population. Describe how the QAPI plan will use this information to monitor staff quality and investigate adverse events. Include all staff: managers, s</w:t>
      </w:r>
      <w:r w:rsidR="008E34DB" w:rsidRPr="00DA2445">
        <w:rPr>
          <w:rFonts w:asciiTheme="minorHAnsi" w:eastAsiaTheme="minorHAnsi" w:hAnsiTheme="minorHAnsi"/>
          <w:bCs/>
          <w:color w:val="000000"/>
          <w:szCs w:val="24"/>
        </w:rPr>
        <w:t>taff and contract staff</w:t>
      </w:r>
      <w:r w:rsidRPr="00DA2445">
        <w:rPr>
          <w:rFonts w:asciiTheme="minorHAnsi" w:eastAsiaTheme="minorHAnsi" w:hAnsiTheme="minorHAnsi"/>
          <w:bCs/>
          <w:color w:val="000000"/>
          <w:szCs w:val="24"/>
        </w:rPr>
        <w:t xml:space="preserve"> and v</w:t>
      </w:r>
      <w:r w:rsidR="008E34DB" w:rsidRPr="00DA2445">
        <w:rPr>
          <w:rFonts w:asciiTheme="minorHAnsi" w:eastAsiaTheme="minorHAnsi" w:hAnsiTheme="minorHAnsi"/>
          <w:bCs/>
          <w:color w:val="000000"/>
          <w:szCs w:val="24"/>
        </w:rPr>
        <w:t>olunteers</w:t>
      </w:r>
      <w:r w:rsidRPr="00DA2445">
        <w:rPr>
          <w:rFonts w:asciiTheme="minorHAnsi" w:eastAsiaTheme="minorHAnsi" w:hAnsiTheme="minorHAnsi"/>
          <w:bCs/>
          <w:color w:val="000000"/>
          <w:szCs w:val="24"/>
        </w:rPr>
        <w:t>.</w:t>
      </w:r>
    </w:p>
    <w:p w:rsidR="00585F88" w:rsidRPr="00DA2445" w:rsidRDefault="00585F88" w:rsidP="008E34DB">
      <w:pPr>
        <w:numPr>
          <w:ilvl w:val="3"/>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Competency</w:t>
      </w:r>
      <w:r w:rsidR="00F52C80" w:rsidRPr="00DA2445">
        <w:rPr>
          <w:rFonts w:asciiTheme="minorHAnsi" w:eastAsiaTheme="minorHAnsi" w:hAnsiTheme="minorHAnsi"/>
          <w:bCs/>
          <w:color w:val="000000"/>
          <w:szCs w:val="24"/>
        </w:rPr>
        <w:t xml:space="preserve"> validation is key to assuring quality care and services. Review the plan for competency validation and testing at least annually in the QAPI Committee meeting to ensure that competencies are met and new competencies are added to the program as needed. </w:t>
      </w:r>
    </w:p>
    <w:p w:rsidR="00585F88" w:rsidRPr="00DA2445" w:rsidRDefault="00585F88" w:rsidP="00F52C80">
      <w:pPr>
        <w:numPr>
          <w:ilvl w:val="2"/>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Health information technology</w:t>
      </w:r>
    </w:p>
    <w:p w:rsidR="00585F88" w:rsidRPr="00DA2445" w:rsidRDefault="00F52C80" w:rsidP="00F52C80">
      <w:pPr>
        <w:numPr>
          <w:ilvl w:val="3"/>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lastRenderedPageBreak/>
        <w:t>The QAPI plan should address how the systems to manage records will be defined and periodically reviewed. Describe how the QAPI plan will monitor the HIM systems for effectiveness and security.</w:t>
      </w:r>
    </w:p>
    <w:p w:rsidR="00585F88" w:rsidRPr="00DA2445" w:rsidRDefault="00585F88" w:rsidP="00585F88">
      <w:pPr>
        <w:numPr>
          <w:ilvl w:val="2"/>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Facility-based and community-based risk assessment utilizing an all-hazards approach</w:t>
      </w:r>
    </w:p>
    <w:p w:rsidR="00F52C80" w:rsidRPr="00DA2445" w:rsidRDefault="00F52C80" w:rsidP="00F52C80">
      <w:pPr>
        <w:numPr>
          <w:ilvl w:val="3"/>
          <w:numId w:val="5"/>
        </w:numPr>
        <w:shd w:val="clear" w:color="auto" w:fill="FFFFFF"/>
        <w:spacing w:before="120" w:after="270" w:line="270" w:lineRule="atLeast"/>
        <w:rPr>
          <w:rFonts w:asciiTheme="minorHAnsi" w:eastAsiaTheme="minorHAnsi" w:hAnsiTheme="minorHAnsi"/>
          <w:bCs/>
          <w:color w:val="000000"/>
          <w:szCs w:val="24"/>
        </w:rPr>
      </w:pPr>
      <w:r w:rsidRPr="00DA2445">
        <w:rPr>
          <w:rFonts w:asciiTheme="minorHAnsi" w:eastAsiaTheme="minorHAnsi" w:hAnsiTheme="minorHAnsi"/>
          <w:bCs/>
          <w:color w:val="000000"/>
          <w:szCs w:val="24"/>
        </w:rPr>
        <w:t>Describe in the QAPI plan the mechanism for conducting the Hazard Risk Assessment. Include the findings of major risk areas and how the Committee will assure that the risks are addressed.</w:t>
      </w:r>
    </w:p>
    <w:p w:rsidR="00F52C80" w:rsidRPr="00F52C80" w:rsidRDefault="00F52C80" w:rsidP="00F52C80">
      <w:pPr>
        <w:shd w:val="clear" w:color="auto" w:fill="FFFFFF"/>
        <w:spacing w:before="120" w:after="270" w:line="270" w:lineRule="atLeast"/>
        <w:rPr>
          <w:rFonts w:asciiTheme="minorHAnsi" w:eastAsiaTheme="minorHAnsi" w:hAnsiTheme="minorHAnsi"/>
          <w:bCs/>
          <w:color w:val="000000"/>
          <w:szCs w:val="24"/>
        </w:rPr>
      </w:pPr>
      <w:r>
        <w:rPr>
          <w:rFonts w:asciiTheme="minorHAnsi" w:eastAsiaTheme="minorHAnsi" w:hAnsiTheme="minorHAnsi"/>
          <w:bCs/>
          <w:noProof/>
          <w:color w:val="000000"/>
          <w:szCs w:val="24"/>
        </w:rPr>
        <w:drawing>
          <wp:inline distT="0" distB="0" distL="0" distR="0" wp14:anchorId="4C42283D" wp14:editId="210E7E35">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E34DB" w:rsidRDefault="008E34DB" w:rsidP="00083BDB">
      <w:pPr>
        <w:shd w:val="clear" w:color="auto" w:fill="FFFFFF"/>
        <w:spacing w:after="270" w:line="270" w:lineRule="atLeast"/>
        <w:rPr>
          <w:rFonts w:asciiTheme="minorHAnsi" w:eastAsiaTheme="minorHAnsi" w:hAnsiTheme="minorHAnsi"/>
          <w:bCs/>
          <w:color w:val="000000"/>
          <w:szCs w:val="24"/>
        </w:rPr>
      </w:pPr>
    </w:p>
    <w:p w:rsidR="00276EDF" w:rsidRDefault="00276EDF" w:rsidP="00276EDF">
      <w:pPr>
        <w:jc w:val="center"/>
        <w:textAlignment w:val="baseline"/>
        <w:rPr>
          <w:rFonts w:asciiTheme="minorHAnsi" w:hAnsiTheme="minorHAnsi" w:cs="Segoe UI"/>
          <w:b/>
          <w:bCs/>
          <w:szCs w:val="24"/>
        </w:rPr>
      </w:pPr>
    </w:p>
    <w:p w:rsidR="00D61145" w:rsidRDefault="00D61145" w:rsidP="00D61145">
      <w:pPr>
        <w:jc w:val="center"/>
        <w:textAlignment w:val="baseline"/>
        <w:rPr>
          <w:rFonts w:asciiTheme="minorHAnsi" w:hAnsiTheme="minorHAnsi" w:cs="Segoe UI"/>
          <w:b/>
          <w:bCs/>
          <w:szCs w:val="24"/>
        </w:rPr>
      </w:pPr>
      <w:r>
        <w:rPr>
          <w:rFonts w:asciiTheme="minorHAnsi" w:hAnsiTheme="minorHAnsi" w:cs="Segoe UI"/>
          <w:b/>
          <w:bCs/>
          <w:szCs w:val="24"/>
        </w:rPr>
        <w:t xml:space="preserve">See the Facility Assessment Template SAMPLE related to the inclusion of the necessary information obtained via this process for the completion of the Facility Assessment. </w:t>
      </w:r>
    </w:p>
    <w:p w:rsidR="008D3679" w:rsidRDefault="008D3679" w:rsidP="00276EDF">
      <w:pPr>
        <w:textAlignment w:val="baseline"/>
        <w:rPr>
          <w:rFonts w:asciiTheme="minorHAnsi" w:hAnsiTheme="minorHAnsi" w:cs="Segoe UI"/>
          <w:b/>
          <w:bCs/>
          <w:szCs w:val="24"/>
        </w:rPr>
      </w:pPr>
    </w:p>
    <w:p w:rsidR="008D3679" w:rsidRDefault="008D3679" w:rsidP="00276EDF">
      <w:pPr>
        <w:textAlignment w:val="baseline"/>
        <w:rPr>
          <w:rFonts w:asciiTheme="minorHAnsi" w:hAnsiTheme="minorHAnsi" w:cs="Segoe UI"/>
          <w:b/>
          <w:bCs/>
          <w:szCs w:val="24"/>
        </w:rPr>
      </w:pPr>
    </w:p>
    <w:p w:rsidR="008D3679" w:rsidRDefault="008D3679" w:rsidP="00276EDF">
      <w:pPr>
        <w:textAlignment w:val="baseline"/>
        <w:rPr>
          <w:rFonts w:asciiTheme="minorHAnsi" w:hAnsiTheme="minorHAnsi" w:cs="Segoe UI"/>
          <w:b/>
          <w:bCs/>
          <w:szCs w:val="24"/>
        </w:rPr>
      </w:pPr>
    </w:p>
    <w:p w:rsidR="008D3679" w:rsidRDefault="008D3679" w:rsidP="00276EDF">
      <w:pPr>
        <w:textAlignment w:val="baseline"/>
        <w:rPr>
          <w:rFonts w:asciiTheme="minorHAnsi" w:hAnsiTheme="minorHAnsi" w:cs="Segoe UI"/>
          <w:b/>
          <w:bCs/>
          <w:szCs w:val="24"/>
        </w:rPr>
      </w:pPr>
    </w:p>
    <w:p w:rsidR="008D3679" w:rsidRDefault="008D3679" w:rsidP="00276EDF">
      <w:pPr>
        <w:textAlignment w:val="baseline"/>
        <w:rPr>
          <w:rFonts w:asciiTheme="minorHAnsi" w:hAnsiTheme="minorHAnsi" w:cs="Segoe UI"/>
          <w:b/>
          <w:bCs/>
          <w:szCs w:val="24"/>
        </w:rPr>
      </w:pPr>
    </w:p>
    <w:p w:rsidR="00F52C80" w:rsidRDefault="00F52C80">
      <w:pPr>
        <w:spacing w:after="160" w:line="259" w:lineRule="auto"/>
        <w:rPr>
          <w:rFonts w:asciiTheme="minorHAnsi" w:hAnsiTheme="minorHAnsi"/>
          <w:b/>
          <w:sz w:val="22"/>
          <w:szCs w:val="22"/>
        </w:rPr>
      </w:pPr>
    </w:p>
    <w:p w:rsidR="000B19B1" w:rsidRDefault="000B19B1" w:rsidP="00276EDF">
      <w:pPr>
        <w:rPr>
          <w:rFonts w:asciiTheme="minorHAnsi" w:hAnsiTheme="minorHAnsi"/>
          <w:b/>
          <w:sz w:val="22"/>
          <w:szCs w:val="22"/>
        </w:rPr>
      </w:pPr>
    </w:p>
    <w:p w:rsidR="00276EDF" w:rsidRPr="00276EDF" w:rsidRDefault="00276EDF" w:rsidP="00276EDF">
      <w:pPr>
        <w:rPr>
          <w:rFonts w:asciiTheme="minorHAnsi" w:hAnsiTheme="minorHAnsi"/>
          <w:b/>
          <w:sz w:val="22"/>
          <w:szCs w:val="22"/>
        </w:rPr>
      </w:pPr>
      <w:r w:rsidRPr="00276EDF">
        <w:rPr>
          <w:rFonts w:asciiTheme="minorHAnsi" w:hAnsiTheme="minorHAnsi"/>
          <w:b/>
          <w:sz w:val="22"/>
          <w:szCs w:val="22"/>
        </w:rPr>
        <w:lastRenderedPageBreak/>
        <w:t>References</w:t>
      </w:r>
    </w:p>
    <w:p w:rsidR="00276EDF" w:rsidRPr="00276EDF" w:rsidRDefault="00276EDF" w:rsidP="00276EDF">
      <w:pPr>
        <w:rPr>
          <w:rFonts w:asciiTheme="minorHAnsi" w:hAnsiTheme="minorHAnsi"/>
          <w:sz w:val="22"/>
          <w:szCs w:val="22"/>
        </w:rPr>
      </w:pPr>
    </w:p>
    <w:p w:rsidR="00276EDF" w:rsidRPr="000B19B1" w:rsidRDefault="00276EDF" w:rsidP="00276EDF">
      <w:pPr>
        <w:rPr>
          <w:rFonts w:asciiTheme="minorHAnsi" w:hAnsiTheme="minorHAnsi" w:cs="Arial"/>
          <w:b/>
          <w:sz w:val="22"/>
          <w:szCs w:val="22"/>
        </w:rPr>
      </w:pPr>
      <w:r w:rsidRPr="000B19B1">
        <w:rPr>
          <w:rFonts w:asciiTheme="minorHAnsi" w:eastAsiaTheme="minorHAnsi" w:hAnsiTheme="minorHAnsi"/>
          <w:b/>
          <w:bCs/>
          <w:color w:val="000000"/>
          <w:sz w:val="22"/>
          <w:szCs w:val="22"/>
        </w:rPr>
        <w:t>State Operations Manual (</w:t>
      </w:r>
      <w:proofErr w:type="spellStart"/>
      <w:r w:rsidRPr="000B19B1">
        <w:rPr>
          <w:rFonts w:asciiTheme="minorHAnsi" w:eastAsiaTheme="minorHAnsi" w:hAnsiTheme="minorHAnsi"/>
          <w:b/>
          <w:bCs/>
          <w:color w:val="000000"/>
          <w:sz w:val="22"/>
          <w:szCs w:val="22"/>
        </w:rPr>
        <w:t>SOM</w:t>
      </w:r>
      <w:proofErr w:type="spellEnd"/>
      <w:r w:rsidRPr="000B19B1">
        <w:rPr>
          <w:rFonts w:asciiTheme="minorHAnsi" w:eastAsiaTheme="minorHAnsi" w:hAnsiTheme="minorHAnsi"/>
          <w:b/>
          <w:bCs/>
          <w:color w:val="000000"/>
          <w:sz w:val="22"/>
          <w:szCs w:val="22"/>
        </w:rPr>
        <w:t>) Appendix PP for Phase 2, F-Tag Revisions, and Related Issues</w:t>
      </w:r>
    </w:p>
    <w:p w:rsidR="00083BDB" w:rsidRPr="000B19B1" w:rsidRDefault="000B19B1" w:rsidP="000B19B1">
      <w:pPr>
        <w:rPr>
          <w:rFonts w:asciiTheme="minorHAnsi" w:hAnsiTheme="minorHAnsi" w:cs="Arial"/>
          <w:sz w:val="22"/>
          <w:szCs w:val="22"/>
        </w:rPr>
      </w:pPr>
      <w:hyperlink r:id="rId13" w:history="1">
        <w:r w:rsidR="00276EDF" w:rsidRPr="000B19B1">
          <w:rPr>
            <w:rStyle w:val="Hyperlink"/>
            <w:rFonts w:asciiTheme="minorHAnsi" w:hAnsiTheme="minorHAnsi" w:cs="Arial"/>
            <w:sz w:val="22"/>
            <w:szCs w:val="22"/>
          </w:rPr>
          <w:t>www.cms.gov/Medicare/Provider-Enrollment-and-Certification/GuidanceforLawsAndRegulations/Downloads/Advance-Appendix-PP-Including-Phase-2-.pdf</w:t>
        </w:r>
      </w:hyperlink>
      <w:r w:rsidR="00276EDF" w:rsidRPr="000B19B1">
        <w:rPr>
          <w:rFonts w:asciiTheme="minorHAnsi" w:hAnsiTheme="minorHAnsi" w:cs="Arial"/>
          <w:sz w:val="22"/>
          <w:szCs w:val="22"/>
        </w:rPr>
        <w:t xml:space="preserve"> </w:t>
      </w:r>
    </w:p>
    <w:p w:rsidR="000B19B1" w:rsidRPr="000B19B1" w:rsidRDefault="000B19B1" w:rsidP="000B19B1">
      <w:pPr>
        <w:rPr>
          <w:rFonts w:asciiTheme="minorHAnsi" w:hAnsiTheme="minorHAnsi" w:cs="Arial"/>
          <w:sz w:val="22"/>
          <w:szCs w:val="22"/>
        </w:rPr>
      </w:pPr>
    </w:p>
    <w:p w:rsidR="00C40438" w:rsidRPr="000B19B1" w:rsidRDefault="00C40438" w:rsidP="00083BDB">
      <w:pPr>
        <w:shd w:val="clear" w:color="auto" w:fill="FFFFFF"/>
        <w:spacing w:after="270" w:line="270" w:lineRule="atLeast"/>
        <w:rPr>
          <w:rFonts w:asciiTheme="minorHAnsi" w:hAnsiTheme="minorHAnsi" w:cs="Helvetica"/>
          <w:sz w:val="22"/>
          <w:szCs w:val="22"/>
        </w:rPr>
      </w:pPr>
      <w:r w:rsidRPr="000B19B1">
        <w:rPr>
          <w:rFonts w:asciiTheme="minorHAnsi" w:hAnsiTheme="minorHAnsi" w:cs="Helvetica"/>
          <w:b/>
          <w:sz w:val="22"/>
          <w:szCs w:val="22"/>
        </w:rPr>
        <w:t>Quality Improvement Organizations, Fa</w:t>
      </w:r>
      <w:r w:rsidR="000B19B1" w:rsidRPr="000B19B1">
        <w:rPr>
          <w:rFonts w:asciiTheme="minorHAnsi" w:hAnsiTheme="minorHAnsi" w:cs="Helvetica"/>
          <w:b/>
          <w:sz w:val="22"/>
          <w:szCs w:val="22"/>
        </w:rPr>
        <w:t xml:space="preserve">cility Assessment Tool (2017) </w:t>
      </w:r>
      <w:hyperlink r:id="rId14" w:history="1">
        <w:r w:rsidRPr="000B19B1">
          <w:rPr>
            <w:rStyle w:val="Hyperlink"/>
            <w:rFonts w:asciiTheme="minorHAnsi" w:hAnsiTheme="minorHAnsi" w:cs="Helvetica"/>
            <w:sz w:val="22"/>
            <w:szCs w:val="22"/>
          </w:rPr>
          <w:t>http://qioprogram.org/facility-assessment-tool</w:t>
        </w:r>
      </w:hyperlink>
      <w:r w:rsidRPr="000B19B1">
        <w:rPr>
          <w:rFonts w:asciiTheme="minorHAnsi" w:hAnsiTheme="minorHAnsi" w:cs="Helvetica"/>
          <w:sz w:val="22"/>
          <w:szCs w:val="22"/>
        </w:rPr>
        <w:t xml:space="preserve"> </w:t>
      </w:r>
    </w:p>
    <w:p w:rsidR="00F52C80" w:rsidRPr="000B19B1" w:rsidRDefault="00F52C80" w:rsidP="00F52C80">
      <w:pPr>
        <w:rPr>
          <w:rFonts w:asciiTheme="minorHAnsi" w:hAnsiTheme="minorHAnsi"/>
          <w:b/>
          <w:sz w:val="22"/>
          <w:szCs w:val="22"/>
        </w:rPr>
      </w:pPr>
      <w:r w:rsidRPr="000B19B1">
        <w:rPr>
          <w:rFonts w:asciiTheme="minorHAnsi" w:hAnsiTheme="minorHAnsi"/>
          <w:b/>
          <w:sz w:val="22"/>
          <w:szCs w:val="22"/>
        </w:rPr>
        <w:t xml:space="preserve">The </w:t>
      </w:r>
      <w:r w:rsidRPr="000B19B1">
        <w:rPr>
          <w:rFonts w:asciiTheme="minorHAnsi" w:hAnsiTheme="minorHAnsi"/>
          <w:b/>
          <w:i/>
          <w:sz w:val="22"/>
          <w:szCs w:val="22"/>
        </w:rPr>
        <w:t>“QAPI Guide for Developing a QAPI Plan”</w:t>
      </w:r>
      <w:r w:rsidRPr="000B19B1">
        <w:rPr>
          <w:rFonts w:asciiTheme="minorHAnsi" w:hAnsiTheme="minorHAnsi"/>
          <w:b/>
          <w:sz w:val="22"/>
          <w:szCs w:val="22"/>
        </w:rPr>
        <w:t xml:space="preserve"> </w:t>
      </w:r>
    </w:p>
    <w:p w:rsidR="00F52C80" w:rsidRPr="000B19B1" w:rsidRDefault="000B19B1" w:rsidP="00F52C80">
      <w:pPr>
        <w:spacing w:before="80"/>
        <w:rPr>
          <w:rFonts w:asciiTheme="minorHAnsi" w:hAnsiTheme="minorHAnsi"/>
          <w:sz w:val="22"/>
          <w:szCs w:val="22"/>
        </w:rPr>
      </w:pPr>
      <w:hyperlink r:id="rId15" w:history="1">
        <w:r w:rsidR="00F52C80" w:rsidRPr="000B19B1">
          <w:rPr>
            <w:rStyle w:val="Hyperlink"/>
            <w:rFonts w:asciiTheme="minorHAnsi" w:hAnsiTheme="minorHAnsi"/>
            <w:sz w:val="22"/>
            <w:szCs w:val="22"/>
          </w:rPr>
          <w:t>https://www.cms.gov/Medicare/Provider-</w:t>
        </w:r>
        <w:bookmarkStart w:id="0" w:name="_GoBack"/>
        <w:bookmarkEnd w:id="0"/>
        <w:r w:rsidR="00F52C80" w:rsidRPr="000B19B1">
          <w:rPr>
            <w:rStyle w:val="Hyperlink"/>
            <w:rFonts w:asciiTheme="minorHAnsi" w:hAnsiTheme="minorHAnsi"/>
            <w:sz w:val="22"/>
            <w:szCs w:val="22"/>
          </w:rPr>
          <w:t>Enrollment-and-Certification/QAPI/downloads/QAPIPlan.pdf</w:t>
        </w:r>
      </w:hyperlink>
    </w:p>
    <w:sectPr w:rsidR="00F52C80" w:rsidRPr="000B19B1" w:rsidSect="00DE7AF9">
      <w:headerReference w:type="default" r:id="rId16"/>
      <w:footerReference w:type="default" r:id="rId17"/>
      <w:headerReference w:type="first" r:id="rId18"/>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117" w:rsidRDefault="009C0117" w:rsidP="00FE158D">
      <w:r>
        <w:separator/>
      </w:r>
    </w:p>
  </w:endnote>
  <w:endnote w:type="continuationSeparator" w:id="0">
    <w:p w:rsidR="009C0117" w:rsidRDefault="009C0117"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FE158D" w:rsidP="00FE158D">
    <w:pPr>
      <w:pStyle w:val="Footer"/>
    </w:pPr>
    <w:r>
      <w:t xml:space="preserve">                                                                                                            </w:t>
    </w:r>
  </w:p>
  <w:p w:rsidR="000B19B1" w:rsidRPr="00061AB8" w:rsidRDefault="000B19B1" w:rsidP="000B19B1">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This document is for general informational purposes only.  </w:t>
    </w:r>
  </w:p>
  <w:p w:rsidR="000B19B1" w:rsidRPr="00061AB8" w:rsidRDefault="000B19B1" w:rsidP="000B19B1">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185739" w:rsidRPr="000B19B1" w:rsidRDefault="000B19B1" w:rsidP="000B19B1">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 Pathway Health Services, Inc. – All Rights Reserved – Copy with Permission Only – The </w:t>
    </w:r>
    <w:proofErr w:type="spellStart"/>
    <w:r w:rsidRPr="00061AB8">
      <w:rPr>
        <w:rFonts w:ascii="Calibri" w:eastAsia="Calibri" w:hAnsi="Calibri"/>
        <w:sz w:val="16"/>
        <w:szCs w:val="16"/>
      </w:rPr>
      <w:t>RoP</w:t>
    </w:r>
    <w:proofErr w:type="spellEnd"/>
    <w:r w:rsidRPr="00061AB8">
      <w:rPr>
        <w:rFonts w:ascii="Calibri" w:eastAsia="Calibri" w:hAnsi="Calibri"/>
        <w:sz w:val="16"/>
        <w:szCs w:val="16"/>
      </w:rPr>
      <w:t xml:space="preserve"> Facility Assessment Toolkit</w:t>
    </w:r>
    <w:r>
      <w:rPr>
        <w:rFonts w:ascii="Calibri" w:eastAsia="Calibri" w:hAnsi="Calibri"/>
        <w:sz w:val="16"/>
        <w:szCs w:val="16"/>
      </w:rPr>
      <w:t xml:space="preserve"> - 2017</w:t>
    </w:r>
    <w:r w:rsidRPr="00061AB8">
      <w:rPr>
        <w:rFonts w:ascii="Calibri" w:eastAsia="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117" w:rsidRDefault="009C0117" w:rsidP="00FE158D">
      <w:r>
        <w:separator/>
      </w:r>
    </w:p>
  </w:footnote>
  <w:footnote w:type="continuationSeparator" w:id="0">
    <w:p w:rsidR="009C0117" w:rsidRDefault="009C0117"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6B2ED2">
    <w:pPr>
      <w:pStyle w:val="Header"/>
    </w:pPr>
    <w:r>
      <w:rPr>
        <w:noProof/>
      </w:rPr>
      <w:drawing>
        <wp:anchor distT="0" distB="0" distL="114300" distR="114300" simplePos="0" relativeHeight="251658240" behindDoc="1" locked="1" layoutInCell="1" allowOverlap="0" wp14:anchorId="32280FFB" wp14:editId="45F9D7E4">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CDC1927" wp14:editId="42BDA00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13926B3D"/>
    <w:multiLevelType w:val="hybridMultilevel"/>
    <w:tmpl w:val="915AC1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325"/>
    <w:multiLevelType w:val="hybridMultilevel"/>
    <w:tmpl w:val="B83414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E4A35"/>
    <w:multiLevelType w:val="hybridMultilevel"/>
    <w:tmpl w:val="C9126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01808"/>
    <w:rsid w:val="00022C8A"/>
    <w:rsid w:val="00023831"/>
    <w:rsid w:val="000413C8"/>
    <w:rsid w:val="000525E2"/>
    <w:rsid w:val="00066D50"/>
    <w:rsid w:val="00066D64"/>
    <w:rsid w:val="00070510"/>
    <w:rsid w:val="00083BDB"/>
    <w:rsid w:val="000B19B1"/>
    <w:rsid w:val="000C24EF"/>
    <w:rsid w:val="000C73D8"/>
    <w:rsid w:val="000D47E0"/>
    <w:rsid w:val="000D53DE"/>
    <w:rsid w:val="000D5B62"/>
    <w:rsid w:val="000E228A"/>
    <w:rsid w:val="000F0118"/>
    <w:rsid w:val="000F7E90"/>
    <w:rsid w:val="0012309D"/>
    <w:rsid w:val="001545F8"/>
    <w:rsid w:val="00157499"/>
    <w:rsid w:val="00170AD2"/>
    <w:rsid w:val="00171E8F"/>
    <w:rsid w:val="00185739"/>
    <w:rsid w:val="001A1EA7"/>
    <w:rsid w:val="001A70E9"/>
    <w:rsid w:val="001C5F3C"/>
    <w:rsid w:val="001E1B8D"/>
    <w:rsid w:val="001E4A02"/>
    <w:rsid w:val="00237682"/>
    <w:rsid w:val="002376A2"/>
    <w:rsid w:val="002613D3"/>
    <w:rsid w:val="002652DA"/>
    <w:rsid w:val="00273546"/>
    <w:rsid w:val="00276EDF"/>
    <w:rsid w:val="0028171D"/>
    <w:rsid w:val="00284AEE"/>
    <w:rsid w:val="00295710"/>
    <w:rsid w:val="002B217D"/>
    <w:rsid w:val="002C5F29"/>
    <w:rsid w:val="002F2B8A"/>
    <w:rsid w:val="003011C7"/>
    <w:rsid w:val="00301AA8"/>
    <w:rsid w:val="00347292"/>
    <w:rsid w:val="003510B5"/>
    <w:rsid w:val="0035148C"/>
    <w:rsid w:val="00361BBF"/>
    <w:rsid w:val="00371225"/>
    <w:rsid w:val="00372DF7"/>
    <w:rsid w:val="00373CF0"/>
    <w:rsid w:val="00394390"/>
    <w:rsid w:val="003A3E8D"/>
    <w:rsid w:val="003A467F"/>
    <w:rsid w:val="003B0939"/>
    <w:rsid w:val="003F0374"/>
    <w:rsid w:val="003F0C77"/>
    <w:rsid w:val="004044D1"/>
    <w:rsid w:val="00476387"/>
    <w:rsid w:val="00480768"/>
    <w:rsid w:val="00484844"/>
    <w:rsid w:val="004866F6"/>
    <w:rsid w:val="0049047C"/>
    <w:rsid w:val="00490FF5"/>
    <w:rsid w:val="004C4130"/>
    <w:rsid w:val="004E0037"/>
    <w:rsid w:val="00524891"/>
    <w:rsid w:val="00534CAA"/>
    <w:rsid w:val="0053732B"/>
    <w:rsid w:val="005438CB"/>
    <w:rsid w:val="0055308D"/>
    <w:rsid w:val="00561D6D"/>
    <w:rsid w:val="00585F88"/>
    <w:rsid w:val="00593E4B"/>
    <w:rsid w:val="005B296E"/>
    <w:rsid w:val="005B69B2"/>
    <w:rsid w:val="005F036A"/>
    <w:rsid w:val="005F6C6E"/>
    <w:rsid w:val="006034EC"/>
    <w:rsid w:val="00603AC0"/>
    <w:rsid w:val="00605605"/>
    <w:rsid w:val="00610027"/>
    <w:rsid w:val="0061110D"/>
    <w:rsid w:val="00612F40"/>
    <w:rsid w:val="006338B1"/>
    <w:rsid w:val="00640A6F"/>
    <w:rsid w:val="006454F9"/>
    <w:rsid w:val="006A3CC2"/>
    <w:rsid w:val="006B232A"/>
    <w:rsid w:val="006B2ED2"/>
    <w:rsid w:val="006B4E30"/>
    <w:rsid w:val="006D25BD"/>
    <w:rsid w:val="007046C2"/>
    <w:rsid w:val="00710990"/>
    <w:rsid w:val="00717F24"/>
    <w:rsid w:val="007251EF"/>
    <w:rsid w:val="00733691"/>
    <w:rsid w:val="00736D86"/>
    <w:rsid w:val="00751EF9"/>
    <w:rsid w:val="00783084"/>
    <w:rsid w:val="00787273"/>
    <w:rsid w:val="007A61F1"/>
    <w:rsid w:val="007E47DC"/>
    <w:rsid w:val="007E568E"/>
    <w:rsid w:val="007F1686"/>
    <w:rsid w:val="007F26C3"/>
    <w:rsid w:val="00805910"/>
    <w:rsid w:val="0082109E"/>
    <w:rsid w:val="00823348"/>
    <w:rsid w:val="008259FB"/>
    <w:rsid w:val="00836B8E"/>
    <w:rsid w:val="00856FA1"/>
    <w:rsid w:val="00864584"/>
    <w:rsid w:val="00872303"/>
    <w:rsid w:val="00882A4F"/>
    <w:rsid w:val="008A05E9"/>
    <w:rsid w:val="008A62E8"/>
    <w:rsid w:val="008B6D99"/>
    <w:rsid w:val="008C321C"/>
    <w:rsid w:val="008D3679"/>
    <w:rsid w:val="008D496A"/>
    <w:rsid w:val="008D6067"/>
    <w:rsid w:val="008E34DB"/>
    <w:rsid w:val="008E3AE6"/>
    <w:rsid w:val="008E7224"/>
    <w:rsid w:val="009073EC"/>
    <w:rsid w:val="00913054"/>
    <w:rsid w:val="0091732B"/>
    <w:rsid w:val="009478FB"/>
    <w:rsid w:val="00951B77"/>
    <w:rsid w:val="00960FAB"/>
    <w:rsid w:val="00964A22"/>
    <w:rsid w:val="00965905"/>
    <w:rsid w:val="0096687A"/>
    <w:rsid w:val="009942FF"/>
    <w:rsid w:val="009B7479"/>
    <w:rsid w:val="009C0117"/>
    <w:rsid w:val="009C106D"/>
    <w:rsid w:val="009C5754"/>
    <w:rsid w:val="009C583E"/>
    <w:rsid w:val="009E636E"/>
    <w:rsid w:val="009F0488"/>
    <w:rsid w:val="00A039B0"/>
    <w:rsid w:val="00A20014"/>
    <w:rsid w:val="00A25232"/>
    <w:rsid w:val="00A40123"/>
    <w:rsid w:val="00A41410"/>
    <w:rsid w:val="00A43C4E"/>
    <w:rsid w:val="00A73BD0"/>
    <w:rsid w:val="00A770DD"/>
    <w:rsid w:val="00A848E2"/>
    <w:rsid w:val="00A9460A"/>
    <w:rsid w:val="00AB677E"/>
    <w:rsid w:val="00AC0FC3"/>
    <w:rsid w:val="00AC59F8"/>
    <w:rsid w:val="00AE6DF0"/>
    <w:rsid w:val="00AF2756"/>
    <w:rsid w:val="00B019EA"/>
    <w:rsid w:val="00B03F8C"/>
    <w:rsid w:val="00B062EF"/>
    <w:rsid w:val="00B11184"/>
    <w:rsid w:val="00B17B53"/>
    <w:rsid w:val="00B24FB4"/>
    <w:rsid w:val="00B24FEC"/>
    <w:rsid w:val="00B34BFC"/>
    <w:rsid w:val="00B41730"/>
    <w:rsid w:val="00B6251E"/>
    <w:rsid w:val="00BA133A"/>
    <w:rsid w:val="00BB507F"/>
    <w:rsid w:val="00BB7AB3"/>
    <w:rsid w:val="00BE1BD3"/>
    <w:rsid w:val="00BE1EB2"/>
    <w:rsid w:val="00C0102E"/>
    <w:rsid w:val="00C05E5C"/>
    <w:rsid w:val="00C170A5"/>
    <w:rsid w:val="00C3385C"/>
    <w:rsid w:val="00C40438"/>
    <w:rsid w:val="00C6212A"/>
    <w:rsid w:val="00C71D53"/>
    <w:rsid w:val="00C76BE9"/>
    <w:rsid w:val="00C927E4"/>
    <w:rsid w:val="00CB21BB"/>
    <w:rsid w:val="00CD113E"/>
    <w:rsid w:val="00CF284B"/>
    <w:rsid w:val="00CF3AE8"/>
    <w:rsid w:val="00D01949"/>
    <w:rsid w:val="00D1168B"/>
    <w:rsid w:val="00D235A9"/>
    <w:rsid w:val="00D37C41"/>
    <w:rsid w:val="00D51CF4"/>
    <w:rsid w:val="00D61145"/>
    <w:rsid w:val="00D7793D"/>
    <w:rsid w:val="00DA2445"/>
    <w:rsid w:val="00DB6D68"/>
    <w:rsid w:val="00DB7C69"/>
    <w:rsid w:val="00DC0BC7"/>
    <w:rsid w:val="00DC40AB"/>
    <w:rsid w:val="00DE7AF9"/>
    <w:rsid w:val="00DF155B"/>
    <w:rsid w:val="00DF595F"/>
    <w:rsid w:val="00E410E3"/>
    <w:rsid w:val="00E94EC6"/>
    <w:rsid w:val="00EB192F"/>
    <w:rsid w:val="00EC481F"/>
    <w:rsid w:val="00ED6153"/>
    <w:rsid w:val="00EE4F0F"/>
    <w:rsid w:val="00EF0A00"/>
    <w:rsid w:val="00EF400A"/>
    <w:rsid w:val="00F41C5D"/>
    <w:rsid w:val="00F52C80"/>
    <w:rsid w:val="00F955BA"/>
    <w:rsid w:val="00FB157C"/>
    <w:rsid w:val="00FB5A60"/>
    <w:rsid w:val="00FC03F0"/>
    <w:rsid w:val="00FE158D"/>
    <w:rsid w:val="00FF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9F9AB"/>
  <w15:docId w15:val="{7F7E7343-D10A-48BF-B71B-8E59CFF0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37682"/>
    <w:pPr>
      <w:keepNext/>
      <w:autoSpaceDE w:val="0"/>
      <w:autoSpaceDN w:val="0"/>
      <w:adjustRightInd w:val="0"/>
      <w:spacing w:line="276" w:lineRule="atLeast"/>
      <w:outlineLvl w:val="0"/>
    </w:pPr>
    <w:rPr>
      <w:rFonts w:asciiTheme="minorHAnsi" w:eastAsiaTheme="minorHAnsi" w:hAnsiTheme="minorHAnsi"/>
      <w:b/>
      <w:bCs/>
      <w:color w:val="000000"/>
      <w:szCs w:val="24"/>
    </w:rPr>
  </w:style>
  <w:style w:type="paragraph" w:styleId="Heading2">
    <w:name w:val="heading 2"/>
    <w:basedOn w:val="Normal"/>
    <w:next w:val="Normal"/>
    <w:link w:val="Heading2Char"/>
    <w:uiPriority w:val="9"/>
    <w:unhideWhenUsed/>
    <w:qFormat/>
    <w:rsid w:val="00261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6458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13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iPriority w:val="99"/>
    <w:unhideWhenUsed/>
    <w:rsid w:val="005B69B2"/>
    <w:pPr>
      <w:spacing w:before="100" w:beforeAutospacing="1" w:after="100" w:afterAutospacing="1"/>
    </w:pPr>
    <w:rPr>
      <w:rFonts w:eastAsiaTheme="minorHAnsi"/>
      <w:szCs w:val="24"/>
    </w:rPr>
  </w:style>
  <w:style w:type="table" w:styleId="TableGrid">
    <w:name w:val="Table Grid"/>
    <w:basedOn w:val="TableNormal"/>
    <w:uiPriority w:val="39"/>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6458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613D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613D3"/>
    <w:rPr>
      <w:rFonts w:asciiTheme="majorHAnsi" w:eastAsiaTheme="majorEastAsia" w:hAnsiTheme="majorHAnsi" w:cstheme="majorBidi"/>
      <w:i/>
      <w:iCs/>
      <w:color w:val="2E74B5" w:themeColor="accent1" w:themeShade="BF"/>
      <w:sz w:val="24"/>
      <w:szCs w:val="20"/>
    </w:rPr>
  </w:style>
  <w:style w:type="character" w:customStyle="1" w:styleId="Mention1">
    <w:name w:val="Mention1"/>
    <w:basedOn w:val="DefaultParagraphFont"/>
    <w:uiPriority w:val="99"/>
    <w:semiHidden/>
    <w:unhideWhenUsed/>
    <w:rsid w:val="002613D3"/>
    <w:rPr>
      <w:color w:val="2B579A"/>
      <w:shd w:val="clear" w:color="auto" w:fill="E6E6E6"/>
    </w:rPr>
  </w:style>
  <w:style w:type="paragraph" w:styleId="BodyText2">
    <w:name w:val="Body Text 2"/>
    <w:basedOn w:val="Normal"/>
    <w:link w:val="BodyText2Char"/>
    <w:uiPriority w:val="99"/>
    <w:unhideWhenUsed/>
    <w:rsid w:val="00276EDF"/>
    <w:pPr>
      <w:spacing w:before="120"/>
    </w:pPr>
    <w:rPr>
      <w:rFonts w:asciiTheme="minorHAnsi" w:eastAsiaTheme="minorHAnsi" w:hAnsiTheme="minorHAnsi"/>
      <w:iCs/>
      <w:color w:val="000000"/>
      <w:sz w:val="23"/>
      <w:szCs w:val="23"/>
    </w:rPr>
  </w:style>
  <w:style w:type="character" w:customStyle="1" w:styleId="BodyText2Char">
    <w:name w:val="Body Text 2 Char"/>
    <w:basedOn w:val="DefaultParagraphFont"/>
    <w:link w:val="BodyText2"/>
    <w:uiPriority w:val="99"/>
    <w:rsid w:val="00276EDF"/>
    <w:rPr>
      <w:rFonts w:cs="Times New Roman"/>
      <w:iCs/>
      <w:color w:val="000000"/>
      <w:sz w:val="23"/>
      <w:szCs w:val="23"/>
    </w:rPr>
  </w:style>
  <w:style w:type="paragraph" w:styleId="BodyTextIndent">
    <w:name w:val="Body Text Indent"/>
    <w:basedOn w:val="Normal"/>
    <w:link w:val="BodyTextIndentChar"/>
    <w:uiPriority w:val="99"/>
    <w:unhideWhenUsed/>
    <w:rsid w:val="009942FF"/>
    <w:pPr>
      <w:autoSpaceDE w:val="0"/>
      <w:autoSpaceDN w:val="0"/>
      <w:adjustRightInd w:val="0"/>
      <w:spacing w:after="277" w:line="276" w:lineRule="atLeast"/>
      <w:ind w:left="720"/>
    </w:pPr>
    <w:rPr>
      <w:rFonts w:eastAsiaTheme="minorHAnsi"/>
      <w:b/>
      <w:bCs/>
      <w:i/>
      <w:iCs/>
      <w:color w:val="000000"/>
      <w:sz w:val="23"/>
      <w:szCs w:val="23"/>
    </w:rPr>
  </w:style>
  <w:style w:type="character" w:customStyle="1" w:styleId="BodyTextIndentChar">
    <w:name w:val="Body Text Indent Char"/>
    <w:basedOn w:val="DefaultParagraphFont"/>
    <w:link w:val="BodyTextIndent"/>
    <w:uiPriority w:val="99"/>
    <w:rsid w:val="009942FF"/>
    <w:rPr>
      <w:rFonts w:ascii="Times New Roman" w:hAnsi="Times New Roman" w:cs="Times New Roman"/>
      <w:b/>
      <w:bCs/>
      <w:i/>
      <w:iCs/>
      <w:color w:val="000000"/>
      <w:sz w:val="23"/>
      <w:szCs w:val="23"/>
    </w:rPr>
  </w:style>
  <w:style w:type="paragraph" w:styleId="BlockText">
    <w:name w:val="Block Text"/>
    <w:basedOn w:val="Normal"/>
    <w:uiPriority w:val="99"/>
    <w:unhideWhenUsed/>
    <w:rsid w:val="009942FF"/>
    <w:pPr>
      <w:autoSpaceDE w:val="0"/>
      <w:autoSpaceDN w:val="0"/>
      <w:adjustRightInd w:val="0"/>
      <w:spacing w:after="277" w:line="276" w:lineRule="atLeast"/>
      <w:ind w:left="720" w:right="412"/>
    </w:pPr>
    <w:rPr>
      <w:rFonts w:eastAsiaTheme="minorHAnsi"/>
      <w:b/>
      <w:bCs/>
      <w:i/>
      <w:iCs/>
      <w:color w:val="000000"/>
      <w:sz w:val="23"/>
      <w:szCs w:val="23"/>
    </w:rPr>
  </w:style>
  <w:style w:type="paragraph" w:styleId="BodyTextIndent2">
    <w:name w:val="Body Text Indent 2"/>
    <w:basedOn w:val="Normal"/>
    <w:link w:val="BodyTextIndent2Char"/>
    <w:uiPriority w:val="99"/>
    <w:unhideWhenUsed/>
    <w:rsid w:val="009942FF"/>
    <w:pPr>
      <w:autoSpaceDE w:val="0"/>
      <w:autoSpaceDN w:val="0"/>
      <w:adjustRightInd w:val="0"/>
      <w:spacing w:line="276" w:lineRule="atLeast"/>
      <w:ind w:left="360"/>
    </w:pPr>
    <w:rPr>
      <w:rFonts w:eastAsiaTheme="minorHAnsi"/>
      <w:b/>
      <w:bCs/>
      <w:iCs/>
      <w:color w:val="000000"/>
      <w:sz w:val="23"/>
      <w:szCs w:val="23"/>
    </w:rPr>
  </w:style>
  <w:style w:type="character" w:customStyle="1" w:styleId="BodyTextIndent2Char">
    <w:name w:val="Body Text Indent 2 Char"/>
    <w:basedOn w:val="DefaultParagraphFont"/>
    <w:link w:val="BodyTextIndent2"/>
    <w:uiPriority w:val="99"/>
    <w:rsid w:val="009942FF"/>
    <w:rPr>
      <w:rFonts w:ascii="Times New Roman" w:hAnsi="Times New Roman" w:cs="Times New Roman"/>
      <w:b/>
      <w:bCs/>
      <w:iCs/>
      <w:color w:val="000000"/>
      <w:sz w:val="23"/>
      <w:szCs w:val="23"/>
    </w:rPr>
  </w:style>
  <w:style w:type="paragraph" w:styleId="BodyText">
    <w:name w:val="Body Text"/>
    <w:basedOn w:val="Normal"/>
    <w:link w:val="BodyTextChar"/>
    <w:uiPriority w:val="99"/>
    <w:unhideWhenUsed/>
    <w:rsid w:val="009942FF"/>
    <w:pPr>
      <w:autoSpaceDE w:val="0"/>
      <w:autoSpaceDN w:val="0"/>
      <w:adjustRightInd w:val="0"/>
      <w:spacing w:after="277" w:line="276" w:lineRule="atLeast"/>
    </w:pPr>
    <w:rPr>
      <w:rFonts w:eastAsiaTheme="minorHAnsi"/>
      <w:b/>
      <w:bCs/>
      <w:iCs/>
      <w:color w:val="000000"/>
      <w:sz w:val="23"/>
      <w:szCs w:val="23"/>
    </w:rPr>
  </w:style>
  <w:style w:type="character" w:customStyle="1" w:styleId="BodyTextChar">
    <w:name w:val="Body Text Char"/>
    <w:basedOn w:val="DefaultParagraphFont"/>
    <w:link w:val="BodyText"/>
    <w:uiPriority w:val="99"/>
    <w:rsid w:val="009942FF"/>
    <w:rPr>
      <w:rFonts w:ascii="Times New Roman" w:hAnsi="Times New Roman" w:cs="Times New Roman"/>
      <w:b/>
      <w:bCs/>
      <w:iCs/>
      <w:color w:val="000000"/>
      <w:sz w:val="23"/>
      <w:szCs w:val="23"/>
    </w:rPr>
  </w:style>
  <w:style w:type="paragraph" w:styleId="BodyText3">
    <w:name w:val="Body Text 3"/>
    <w:basedOn w:val="Normal"/>
    <w:link w:val="BodyText3Char"/>
    <w:uiPriority w:val="99"/>
    <w:unhideWhenUsed/>
    <w:rsid w:val="00237682"/>
    <w:pPr>
      <w:autoSpaceDE w:val="0"/>
      <w:autoSpaceDN w:val="0"/>
      <w:adjustRightInd w:val="0"/>
      <w:spacing w:line="276" w:lineRule="atLeast"/>
    </w:pPr>
    <w:rPr>
      <w:rFonts w:eastAsiaTheme="minorHAnsi"/>
      <w:b/>
      <w:iCs/>
      <w:color w:val="FF0000"/>
      <w:sz w:val="23"/>
      <w:szCs w:val="23"/>
    </w:rPr>
  </w:style>
  <w:style w:type="character" w:customStyle="1" w:styleId="BodyText3Char">
    <w:name w:val="Body Text 3 Char"/>
    <w:basedOn w:val="DefaultParagraphFont"/>
    <w:link w:val="BodyText3"/>
    <w:uiPriority w:val="99"/>
    <w:rsid w:val="00237682"/>
    <w:rPr>
      <w:rFonts w:ascii="Times New Roman" w:hAnsi="Times New Roman" w:cs="Times New Roman"/>
      <w:b/>
      <w:iCs/>
      <w:color w:val="FF0000"/>
      <w:sz w:val="23"/>
      <w:szCs w:val="23"/>
    </w:rPr>
  </w:style>
  <w:style w:type="character" w:customStyle="1" w:styleId="Heading1Char">
    <w:name w:val="Heading 1 Char"/>
    <w:basedOn w:val="DefaultParagraphFont"/>
    <w:link w:val="Heading1"/>
    <w:uiPriority w:val="9"/>
    <w:rsid w:val="00237682"/>
    <w:rPr>
      <w:rFonts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25992216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5544425">
      <w:bodyDiv w:val="1"/>
      <w:marLeft w:val="0"/>
      <w:marRight w:val="0"/>
      <w:marTop w:val="0"/>
      <w:marBottom w:val="0"/>
      <w:divBdr>
        <w:top w:val="none" w:sz="0" w:space="0" w:color="auto"/>
        <w:left w:val="none" w:sz="0" w:space="0" w:color="auto"/>
        <w:bottom w:val="none" w:sz="0" w:space="0" w:color="auto"/>
        <w:right w:val="none" w:sz="0" w:space="0" w:color="auto"/>
      </w:divBdr>
      <w:divsChild>
        <w:div w:id="323902004">
          <w:marLeft w:val="0"/>
          <w:marRight w:val="0"/>
          <w:marTop w:val="0"/>
          <w:marBottom w:val="0"/>
          <w:divBdr>
            <w:top w:val="none" w:sz="0" w:space="0" w:color="auto"/>
            <w:left w:val="none" w:sz="0" w:space="0" w:color="auto"/>
            <w:bottom w:val="none" w:sz="0" w:space="0" w:color="auto"/>
            <w:right w:val="none" w:sz="0" w:space="0" w:color="auto"/>
          </w:divBdr>
          <w:divsChild>
            <w:div w:id="596906565">
              <w:blockQuote w:val="1"/>
              <w:marLeft w:val="0"/>
              <w:marRight w:val="0"/>
              <w:marTop w:val="0"/>
              <w:marBottom w:val="0"/>
              <w:divBdr>
                <w:top w:val="none" w:sz="0" w:space="0" w:color="auto"/>
                <w:left w:val="none" w:sz="0" w:space="0" w:color="auto"/>
                <w:bottom w:val="none" w:sz="0" w:space="0" w:color="auto"/>
                <w:right w:val="none" w:sz="0" w:space="0" w:color="auto"/>
              </w:divBdr>
            </w:div>
            <w:div w:id="2036036053">
              <w:blockQuote w:val="1"/>
              <w:marLeft w:val="0"/>
              <w:marRight w:val="0"/>
              <w:marTop w:val="0"/>
              <w:marBottom w:val="0"/>
              <w:divBdr>
                <w:top w:val="none" w:sz="0" w:space="0" w:color="auto"/>
                <w:left w:val="none" w:sz="0" w:space="0" w:color="auto"/>
                <w:bottom w:val="none" w:sz="0" w:space="0" w:color="auto"/>
                <w:right w:val="none" w:sz="0" w:space="0" w:color="auto"/>
              </w:divBdr>
            </w:div>
            <w:div w:id="4512416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sChild>
        <w:div w:id="1006202982">
          <w:marLeft w:val="0"/>
          <w:marRight w:val="0"/>
          <w:marTop w:val="0"/>
          <w:marBottom w:val="0"/>
          <w:divBdr>
            <w:top w:val="none" w:sz="0" w:space="0" w:color="auto"/>
            <w:left w:val="none" w:sz="0" w:space="0" w:color="auto"/>
            <w:bottom w:val="none" w:sz="0" w:space="0" w:color="auto"/>
            <w:right w:val="none" w:sz="0" w:space="0" w:color="auto"/>
          </w:divBdr>
          <w:divsChild>
            <w:div w:id="1933932338">
              <w:blockQuote w:val="1"/>
              <w:marLeft w:val="0"/>
              <w:marRight w:val="0"/>
              <w:marTop w:val="0"/>
              <w:marBottom w:val="0"/>
              <w:divBdr>
                <w:top w:val="none" w:sz="0" w:space="0" w:color="auto"/>
                <w:left w:val="none" w:sz="0" w:space="0" w:color="auto"/>
                <w:bottom w:val="none" w:sz="0" w:space="0" w:color="auto"/>
                <w:right w:val="none" w:sz="0" w:space="0" w:color="auto"/>
              </w:divBdr>
            </w:div>
            <w:div w:id="1533029016">
              <w:blockQuote w:val="1"/>
              <w:marLeft w:val="0"/>
              <w:marRight w:val="0"/>
              <w:marTop w:val="0"/>
              <w:marBottom w:val="0"/>
              <w:divBdr>
                <w:top w:val="none" w:sz="0" w:space="0" w:color="auto"/>
                <w:left w:val="none" w:sz="0" w:space="0" w:color="auto"/>
                <w:bottom w:val="none" w:sz="0" w:space="0" w:color="auto"/>
                <w:right w:val="none" w:sz="0" w:space="0" w:color="auto"/>
              </w:divBdr>
            </w:div>
            <w:div w:id="627125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784038767">
      <w:bodyDiv w:val="1"/>
      <w:marLeft w:val="0"/>
      <w:marRight w:val="0"/>
      <w:marTop w:val="0"/>
      <w:marBottom w:val="0"/>
      <w:divBdr>
        <w:top w:val="none" w:sz="0" w:space="0" w:color="auto"/>
        <w:left w:val="none" w:sz="0" w:space="0" w:color="auto"/>
        <w:bottom w:val="none" w:sz="0" w:space="0" w:color="auto"/>
        <w:right w:val="none" w:sz="0" w:space="0" w:color="auto"/>
      </w:divBdr>
      <w:divsChild>
        <w:div w:id="1667826312">
          <w:marLeft w:val="0"/>
          <w:marRight w:val="0"/>
          <w:marTop w:val="0"/>
          <w:marBottom w:val="0"/>
          <w:divBdr>
            <w:top w:val="none" w:sz="0" w:space="0" w:color="auto"/>
            <w:left w:val="none" w:sz="0" w:space="0" w:color="auto"/>
            <w:bottom w:val="none" w:sz="0" w:space="0" w:color="auto"/>
            <w:right w:val="none" w:sz="0" w:space="0" w:color="auto"/>
          </w:divBdr>
          <w:divsChild>
            <w:div w:id="8891951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854074345">
      <w:bodyDiv w:val="1"/>
      <w:marLeft w:val="0"/>
      <w:marRight w:val="0"/>
      <w:marTop w:val="0"/>
      <w:marBottom w:val="0"/>
      <w:divBdr>
        <w:top w:val="none" w:sz="0" w:space="0" w:color="auto"/>
        <w:left w:val="none" w:sz="0" w:space="0" w:color="auto"/>
        <w:bottom w:val="none" w:sz="0" w:space="0" w:color="auto"/>
        <w:right w:val="none" w:sz="0" w:space="0" w:color="auto"/>
      </w:divBdr>
      <w:divsChild>
        <w:div w:id="415131390">
          <w:marLeft w:val="0"/>
          <w:marRight w:val="0"/>
          <w:marTop w:val="0"/>
          <w:marBottom w:val="0"/>
          <w:divBdr>
            <w:top w:val="none" w:sz="0" w:space="0" w:color="auto"/>
            <w:left w:val="none" w:sz="0" w:space="0" w:color="auto"/>
            <w:bottom w:val="none" w:sz="0" w:space="0" w:color="auto"/>
            <w:right w:val="none" w:sz="0" w:space="0" w:color="auto"/>
          </w:divBdr>
        </w:div>
      </w:divsChild>
    </w:div>
    <w:div w:id="897285878">
      <w:bodyDiv w:val="1"/>
      <w:marLeft w:val="0"/>
      <w:marRight w:val="0"/>
      <w:marTop w:val="0"/>
      <w:marBottom w:val="0"/>
      <w:divBdr>
        <w:top w:val="none" w:sz="0" w:space="0" w:color="auto"/>
        <w:left w:val="none" w:sz="0" w:space="0" w:color="auto"/>
        <w:bottom w:val="none" w:sz="0" w:space="0" w:color="auto"/>
        <w:right w:val="none" w:sz="0" w:space="0" w:color="auto"/>
      </w:divBdr>
      <w:divsChild>
        <w:div w:id="1826243835">
          <w:marLeft w:val="0"/>
          <w:marRight w:val="0"/>
          <w:marTop w:val="0"/>
          <w:marBottom w:val="0"/>
          <w:divBdr>
            <w:top w:val="none" w:sz="0" w:space="0" w:color="auto"/>
            <w:left w:val="none" w:sz="0" w:space="0" w:color="auto"/>
            <w:bottom w:val="none" w:sz="0" w:space="0" w:color="auto"/>
            <w:right w:val="none" w:sz="0" w:space="0" w:color="auto"/>
          </w:divBdr>
          <w:divsChild>
            <w:div w:id="19119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23794937">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509976217">
      <w:bodyDiv w:val="1"/>
      <w:marLeft w:val="0"/>
      <w:marRight w:val="0"/>
      <w:marTop w:val="0"/>
      <w:marBottom w:val="0"/>
      <w:divBdr>
        <w:top w:val="none" w:sz="0" w:space="0" w:color="auto"/>
        <w:left w:val="none" w:sz="0" w:space="0" w:color="auto"/>
        <w:bottom w:val="none" w:sz="0" w:space="0" w:color="auto"/>
        <w:right w:val="none" w:sz="0" w:space="0" w:color="auto"/>
      </w:divBdr>
      <w:divsChild>
        <w:div w:id="1125271256">
          <w:marLeft w:val="0"/>
          <w:marRight w:val="0"/>
          <w:marTop w:val="0"/>
          <w:marBottom w:val="0"/>
          <w:divBdr>
            <w:top w:val="none" w:sz="0" w:space="0" w:color="auto"/>
            <w:left w:val="none" w:sz="0" w:space="0" w:color="auto"/>
            <w:bottom w:val="none" w:sz="0" w:space="0" w:color="auto"/>
            <w:right w:val="none" w:sz="0" w:space="0" w:color="auto"/>
          </w:divBdr>
        </w:div>
      </w:divsChild>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668050449">
      <w:bodyDiv w:val="1"/>
      <w:marLeft w:val="0"/>
      <w:marRight w:val="0"/>
      <w:marTop w:val="0"/>
      <w:marBottom w:val="0"/>
      <w:divBdr>
        <w:top w:val="none" w:sz="0" w:space="0" w:color="auto"/>
        <w:left w:val="none" w:sz="0" w:space="0" w:color="auto"/>
        <w:bottom w:val="none" w:sz="0" w:space="0" w:color="auto"/>
        <w:right w:val="none" w:sz="0" w:space="0" w:color="auto"/>
      </w:divBdr>
    </w:div>
    <w:div w:id="1678188030">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876192808">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 w:id="2104569808">
      <w:bodyDiv w:val="1"/>
      <w:marLeft w:val="0"/>
      <w:marRight w:val="0"/>
      <w:marTop w:val="0"/>
      <w:marBottom w:val="0"/>
      <w:divBdr>
        <w:top w:val="none" w:sz="0" w:space="0" w:color="auto"/>
        <w:left w:val="none" w:sz="0" w:space="0" w:color="auto"/>
        <w:bottom w:val="none" w:sz="0" w:space="0" w:color="auto"/>
        <w:right w:val="none" w:sz="0" w:space="0" w:color="auto"/>
      </w:divBdr>
      <w:divsChild>
        <w:div w:id="154397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ms.gov/Medicare/Provider-Enrollment-and-Certification/GuidanceforLawsAndRegulations/Downloads/Advance-Appendix-PP-Including-Phase-2-.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cms.gov/Medicare/Provider-Enrollment-and-Certification/QAPI/downloads/QAPIPlan.pdf"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qioprogram.org/facility-assessment-t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6F7092-7B49-4CBE-8189-0109778A462D}" type="doc">
      <dgm:prSet loTypeId="urn:microsoft.com/office/officeart/2005/8/layout/radial6" loCatId="cycle" qsTypeId="urn:microsoft.com/office/officeart/2005/8/quickstyle/simple1" qsCatId="simple" csTypeId="urn:microsoft.com/office/officeart/2005/8/colors/accent0_1" csCatId="mainScheme" phldr="1"/>
      <dgm:spPr/>
    </dgm:pt>
    <dgm:pt modelId="{2A6ABDE8-D00D-4AF8-ABB9-F18E37787D43}">
      <dgm:prSet phldrT="[Text]"/>
      <dgm:spPr/>
      <dgm:t>
        <a:bodyPr/>
        <a:lstStyle/>
        <a:p>
          <a:r>
            <a:rPr lang="en-US"/>
            <a:t>Quality of Care and Quality of Life for Residents</a:t>
          </a:r>
        </a:p>
      </dgm:t>
    </dgm:pt>
    <dgm:pt modelId="{5ABD9498-3E0F-498D-9EDD-95A46AA0E05F}" type="parTrans" cxnId="{B3F960C5-BC9A-4264-B3F9-D7B396EC27A1}">
      <dgm:prSet/>
      <dgm:spPr/>
      <dgm:t>
        <a:bodyPr/>
        <a:lstStyle/>
        <a:p>
          <a:endParaRPr lang="en-US"/>
        </a:p>
      </dgm:t>
    </dgm:pt>
    <dgm:pt modelId="{BD616E5E-1B0B-4F16-AA0A-65C97E988260}" type="sibTrans" cxnId="{B3F960C5-BC9A-4264-B3F9-D7B396EC27A1}">
      <dgm:prSet/>
      <dgm:spPr/>
      <dgm:t>
        <a:bodyPr/>
        <a:lstStyle/>
        <a:p>
          <a:endParaRPr lang="en-US"/>
        </a:p>
      </dgm:t>
    </dgm:pt>
    <dgm:pt modelId="{73BF42A4-371E-4F60-9611-B82E5A572198}">
      <dgm:prSet phldrT="[Text]"/>
      <dgm:spPr/>
      <dgm:t>
        <a:bodyPr/>
        <a:lstStyle/>
        <a:p>
          <a:endParaRPr lang="en-US"/>
        </a:p>
      </dgm:t>
    </dgm:pt>
    <dgm:pt modelId="{DD6252FB-5D09-4342-9ADF-C62E69E11A79}" type="parTrans" cxnId="{690017EC-A171-46A0-A84A-EBD1C3D9C04F}">
      <dgm:prSet/>
      <dgm:spPr/>
      <dgm:t>
        <a:bodyPr/>
        <a:lstStyle/>
        <a:p>
          <a:endParaRPr lang="en-US"/>
        </a:p>
      </dgm:t>
    </dgm:pt>
    <dgm:pt modelId="{B19D663E-C5F2-470C-B63B-823E1D3567DA}" type="sibTrans" cxnId="{690017EC-A171-46A0-A84A-EBD1C3D9C04F}">
      <dgm:prSet/>
      <dgm:spPr/>
      <dgm:t>
        <a:bodyPr/>
        <a:lstStyle/>
        <a:p>
          <a:endParaRPr lang="en-US"/>
        </a:p>
      </dgm:t>
    </dgm:pt>
    <dgm:pt modelId="{2B72D4D7-1A34-4095-AF76-75F4E861813F}">
      <dgm:prSet phldrT="[Text]"/>
      <dgm:spPr/>
      <dgm:t>
        <a:bodyPr/>
        <a:lstStyle/>
        <a:p>
          <a:endParaRPr lang="en-US"/>
        </a:p>
      </dgm:t>
    </dgm:pt>
    <dgm:pt modelId="{360D9F25-6C65-4212-88BC-C2596399A64C}" type="parTrans" cxnId="{81F6E66D-6A28-4935-A0B9-AEFA7C7C1E84}">
      <dgm:prSet/>
      <dgm:spPr/>
      <dgm:t>
        <a:bodyPr/>
        <a:lstStyle/>
        <a:p>
          <a:endParaRPr lang="en-US"/>
        </a:p>
      </dgm:t>
    </dgm:pt>
    <dgm:pt modelId="{E1F0938E-960F-476F-B706-983A852925B8}" type="sibTrans" cxnId="{81F6E66D-6A28-4935-A0B9-AEFA7C7C1E84}">
      <dgm:prSet/>
      <dgm:spPr/>
      <dgm:t>
        <a:bodyPr/>
        <a:lstStyle/>
        <a:p>
          <a:endParaRPr lang="en-US"/>
        </a:p>
      </dgm:t>
    </dgm:pt>
    <dgm:pt modelId="{AAF476F9-D749-4875-9070-2CA785E6AD68}">
      <dgm:prSet/>
      <dgm:spPr/>
      <dgm:t>
        <a:bodyPr/>
        <a:lstStyle/>
        <a:p>
          <a:r>
            <a:rPr lang="en-US"/>
            <a:t>Facilty Assessment</a:t>
          </a:r>
        </a:p>
      </dgm:t>
    </dgm:pt>
    <dgm:pt modelId="{6A759B30-46A6-42D3-B7EF-E444842E4E4D}" type="parTrans" cxnId="{6945A109-F7DD-4BED-94CF-E91DC65B933D}">
      <dgm:prSet/>
      <dgm:spPr/>
      <dgm:t>
        <a:bodyPr/>
        <a:lstStyle/>
        <a:p>
          <a:endParaRPr lang="en-US"/>
        </a:p>
      </dgm:t>
    </dgm:pt>
    <dgm:pt modelId="{7131A0D6-E0C4-4314-AF6F-29B78E62B84A}" type="sibTrans" cxnId="{6945A109-F7DD-4BED-94CF-E91DC65B933D}">
      <dgm:prSet/>
      <dgm:spPr/>
      <dgm:t>
        <a:bodyPr/>
        <a:lstStyle/>
        <a:p>
          <a:endParaRPr lang="en-US"/>
        </a:p>
      </dgm:t>
    </dgm:pt>
    <dgm:pt modelId="{B9471E05-9B80-4625-8B8F-AB0B4AA1DA84}">
      <dgm:prSet/>
      <dgm:spPr/>
      <dgm:t>
        <a:bodyPr/>
        <a:lstStyle/>
        <a:p>
          <a:r>
            <a:rPr lang="en-US"/>
            <a:t>QAPI Plan </a:t>
          </a:r>
        </a:p>
      </dgm:t>
    </dgm:pt>
    <dgm:pt modelId="{6A8F2E71-FDF9-4C65-ADF4-6D619E947F9D}" type="parTrans" cxnId="{BA74BDB2-C0D1-4CAE-AD0A-0D9BC47B6A12}">
      <dgm:prSet/>
      <dgm:spPr/>
      <dgm:t>
        <a:bodyPr/>
        <a:lstStyle/>
        <a:p>
          <a:endParaRPr lang="en-US"/>
        </a:p>
      </dgm:t>
    </dgm:pt>
    <dgm:pt modelId="{E92FD3F2-EFBD-4A08-AC4A-B3706CEF3C8D}" type="sibTrans" cxnId="{BA74BDB2-C0D1-4CAE-AD0A-0D9BC47B6A12}">
      <dgm:prSet/>
      <dgm:spPr/>
      <dgm:t>
        <a:bodyPr/>
        <a:lstStyle/>
        <a:p>
          <a:endParaRPr lang="en-US"/>
        </a:p>
      </dgm:t>
    </dgm:pt>
    <dgm:pt modelId="{F654C4C7-6B14-4C96-B5D9-11A4FDB96776}">
      <dgm:prSet/>
      <dgm:spPr/>
      <dgm:t>
        <a:bodyPr/>
        <a:lstStyle/>
        <a:p>
          <a:r>
            <a:rPr lang="en-US"/>
            <a:t>Quality Operational Performance </a:t>
          </a:r>
        </a:p>
      </dgm:t>
    </dgm:pt>
    <dgm:pt modelId="{A89F3B50-4025-4120-A8B5-8027CCEFC372}" type="parTrans" cxnId="{E2B4F40D-BE2A-4BAF-A2B3-02E9F26CC45F}">
      <dgm:prSet/>
      <dgm:spPr/>
      <dgm:t>
        <a:bodyPr/>
        <a:lstStyle/>
        <a:p>
          <a:endParaRPr lang="en-US"/>
        </a:p>
      </dgm:t>
    </dgm:pt>
    <dgm:pt modelId="{99A3777C-7304-4F8E-BB0F-AFC5038BA731}" type="sibTrans" cxnId="{E2B4F40D-BE2A-4BAF-A2B3-02E9F26CC45F}">
      <dgm:prSet/>
      <dgm:spPr/>
      <dgm:t>
        <a:bodyPr/>
        <a:lstStyle/>
        <a:p>
          <a:endParaRPr lang="en-US"/>
        </a:p>
      </dgm:t>
    </dgm:pt>
    <dgm:pt modelId="{62F255FE-A14A-465B-95A1-D8097FB2C002}" type="pres">
      <dgm:prSet presAssocID="{776F7092-7B49-4CBE-8189-0109778A462D}" presName="Name0" presStyleCnt="0">
        <dgm:presLayoutVars>
          <dgm:chMax val="1"/>
          <dgm:dir/>
          <dgm:animLvl val="ctr"/>
          <dgm:resizeHandles val="exact"/>
        </dgm:presLayoutVars>
      </dgm:prSet>
      <dgm:spPr/>
    </dgm:pt>
    <dgm:pt modelId="{C27A2053-386D-489D-AA60-FBE20E19E44E}" type="pres">
      <dgm:prSet presAssocID="{2A6ABDE8-D00D-4AF8-ABB9-F18E37787D43}" presName="centerShape" presStyleLbl="node0" presStyleIdx="0" presStyleCnt="1"/>
      <dgm:spPr/>
    </dgm:pt>
    <dgm:pt modelId="{741B2DF8-2701-4AA0-8051-4CB38C101807}" type="pres">
      <dgm:prSet presAssocID="{F654C4C7-6B14-4C96-B5D9-11A4FDB96776}" presName="node" presStyleLbl="node1" presStyleIdx="0" presStyleCnt="3">
        <dgm:presLayoutVars>
          <dgm:bulletEnabled val="1"/>
        </dgm:presLayoutVars>
      </dgm:prSet>
      <dgm:spPr/>
    </dgm:pt>
    <dgm:pt modelId="{33A45E58-1FA0-4DCA-8F2A-B6C17304DA90}" type="pres">
      <dgm:prSet presAssocID="{F654C4C7-6B14-4C96-B5D9-11A4FDB96776}" presName="dummy" presStyleCnt="0"/>
      <dgm:spPr/>
    </dgm:pt>
    <dgm:pt modelId="{0EE13FF2-49F6-4903-9F0A-82E89F098F86}" type="pres">
      <dgm:prSet presAssocID="{99A3777C-7304-4F8E-BB0F-AFC5038BA731}" presName="sibTrans" presStyleLbl="sibTrans2D1" presStyleIdx="0" presStyleCnt="3"/>
      <dgm:spPr/>
    </dgm:pt>
    <dgm:pt modelId="{06A0D047-D349-4D3B-AAAE-349BC801B645}" type="pres">
      <dgm:prSet presAssocID="{B9471E05-9B80-4625-8B8F-AB0B4AA1DA84}" presName="node" presStyleLbl="node1" presStyleIdx="1" presStyleCnt="3">
        <dgm:presLayoutVars>
          <dgm:bulletEnabled val="1"/>
        </dgm:presLayoutVars>
      </dgm:prSet>
      <dgm:spPr/>
    </dgm:pt>
    <dgm:pt modelId="{75B204B0-A6B4-43C0-907A-32673DCACD0E}" type="pres">
      <dgm:prSet presAssocID="{B9471E05-9B80-4625-8B8F-AB0B4AA1DA84}" presName="dummy" presStyleCnt="0"/>
      <dgm:spPr/>
    </dgm:pt>
    <dgm:pt modelId="{C70EB264-9B6F-40F1-A658-F80810445BA0}" type="pres">
      <dgm:prSet presAssocID="{E92FD3F2-EFBD-4A08-AC4A-B3706CEF3C8D}" presName="sibTrans" presStyleLbl="sibTrans2D1" presStyleIdx="1" presStyleCnt="3"/>
      <dgm:spPr/>
    </dgm:pt>
    <dgm:pt modelId="{6931BA0F-74B7-4E92-97A3-17DAA93F8F48}" type="pres">
      <dgm:prSet presAssocID="{AAF476F9-D749-4875-9070-2CA785E6AD68}" presName="node" presStyleLbl="node1" presStyleIdx="2" presStyleCnt="3">
        <dgm:presLayoutVars>
          <dgm:bulletEnabled val="1"/>
        </dgm:presLayoutVars>
      </dgm:prSet>
      <dgm:spPr/>
    </dgm:pt>
    <dgm:pt modelId="{62006A9F-0B67-4EBB-878F-75D74EDDFF93}" type="pres">
      <dgm:prSet presAssocID="{AAF476F9-D749-4875-9070-2CA785E6AD68}" presName="dummy" presStyleCnt="0"/>
      <dgm:spPr/>
    </dgm:pt>
    <dgm:pt modelId="{6D07B120-24D2-4E9E-962C-063FB72474C7}" type="pres">
      <dgm:prSet presAssocID="{7131A0D6-E0C4-4314-AF6F-29B78E62B84A}" presName="sibTrans" presStyleLbl="sibTrans2D1" presStyleIdx="2" presStyleCnt="3"/>
      <dgm:spPr/>
    </dgm:pt>
  </dgm:ptLst>
  <dgm:cxnLst>
    <dgm:cxn modelId="{6945A109-F7DD-4BED-94CF-E91DC65B933D}" srcId="{2A6ABDE8-D00D-4AF8-ABB9-F18E37787D43}" destId="{AAF476F9-D749-4875-9070-2CA785E6AD68}" srcOrd="2" destOrd="0" parTransId="{6A759B30-46A6-42D3-B7EF-E444842E4E4D}" sibTransId="{7131A0D6-E0C4-4314-AF6F-29B78E62B84A}"/>
    <dgm:cxn modelId="{E2B4F40D-BE2A-4BAF-A2B3-02E9F26CC45F}" srcId="{2A6ABDE8-D00D-4AF8-ABB9-F18E37787D43}" destId="{F654C4C7-6B14-4C96-B5D9-11A4FDB96776}" srcOrd="0" destOrd="0" parTransId="{A89F3B50-4025-4120-A8B5-8027CCEFC372}" sibTransId="{99A3777C-7304-4F8E-BB0F-AFC5038BA731}"/>
    <dgm:cxn modelId="{4BB6E116-2C5F-42C3-977B-7DCEBB293CC3}" type="presOf" srcId="{776F7092-7B49-4CBE-8189-0109778A462D}" destId="{62F255FE-A14A-465B-95A1-D8097FB2C002}" srcOrd="0" destOrd="0" presId="urn:microsoft.com/office/officeart/2005/8/layout/radial6"/>
    <dgm:cxn modelId="{5B60A23E-86E8-4FA2-AB2F-B31FB676E31C}" type="presOf" srcId="{AAF476F9-D749-4875-9070-2CA785E6AD68}" destId="{6931BA0F-74B7-4E92-97A3-17DAA93F8F48}" srcOrd="0" destOrd="0" presId="urn:microsoft.com/office/officeart/2005/8/layout/radial6"/>
    <dgm:cxn modelId="{F499EC6C-A840-4E72-87D6-7ABC6F3B0DA1}" type="presOf" srcId="{7131A0D6-E0C4-4314-AF6F-29B78E62B84A}" destId="{6D07B120-24D2-4E9E-962C-063FB72474C7}" srcOrd="0" destOrd="0" presId="urn:microsoft.com/office/officeart/2005/8/layout/radial6"/>
    <dgm:cxn modelId="{281C006D-85B3-4696-9EC4-C0A3565CA384}" type="presOf" srcId="{2A6ABDE8-D00D-4AF8-ABB9-F18E37787D43}" destId="{C27A2053-386D-489D-AA60-FBE20E19E44E}" srcOrd="0" destOrd="0" presId="urn:microsoft.com/office/officeart/2005/8/layout/radial6"/>
    <dgm:cxn modelId="{81F6E66D-6A28-4935-A0B9-AEFA7C7C1E84}" srcId="{776F7092-7B49-4CBE-8189-0109778A462D}" destId="{2B72D4D7-1A34-4095-AF76-75F4E861813F}" srcOrd="2" destOrd="0" parTransId="{360D9F25-6C65-4212-88BC-C2596399A64C}" sibTransId="{E1F0938E-960F-476F-B706-983A852925B8}"/>
    <dgm:cxn modelId="{5F10B598-2D14-4229-8413-384E75EB12DB}" type="presOf" srcId="{E92FD3F2-EFBD-4A08-AC4A-B3706CEF3C8D}" destId="{C70EB264-9B6F-40F1-A658-F80810445BA0}" srcOrd="0" destOrd="0" presId="urn:microsoft.com/office/officeart/2005/8/layout/radial6"/>
    <dgm:cxn modelId="{D864119C-2A42-4A34-A440-E1E06A5A2B44}" type="presOf" srcId="{B9471E05-9B80-4625-8B8F-AB0B4AA1DA84}" destId="{06A0D047-D349-4D3B-AAAE-349BC801B645}" srcOrd="0" destOrd="0" presId="urn:microsoft.com/office/officeart/2005/8/layout/radial6"/>
    <dgm:cxn modelId="{BA74BDB2-C0D1-4CAE-AD0A-0D9BC47B6A12}" srcId="{2A6ABDE8-D00D-4AF8-ABB9-F18E37787D43}" destId="{B9471E05-9B80-4625-8B8F-AB0B4AA1DA84}" srcOrd="1" destOrd="0" parTransId="{6A8F2E71-FDF9-4C65-ADF4-6D619E947F9D}" sibTransId="{E92FD3F2-EFBD-4A08-AC4A-B3706CEF3C8D}"/>
    <dgm:cxn modelId="{B3F960C5-BC9A-4264-B3F9-D7B396EC27A1}" srcId="{776F7092-7B49-4CBE-8189-0109778A462D}" destId="{2A6ABDE8-D00D-4AF8-ABB9-F18E37787D43}" srcOrd="0" destOrd="0" parTransId="{5ABD9498-3E0F-498D-9EDD-95A46AA0E05F}" sibTransId="{BD616E5E-1B0B-4F16-AA0A-65C97E988260}"/>
    <dgm:cxn modelId="{FC60E6D7-2B52-4AD7-B4CD-38C5FBD9BC06}" type="presOf" srcId="{99A3777C-7304-4F8E-BB0F-AFC5038BA731}" destId="{0EE13FF2-49F6-4903-9F0A-82E89F098F86}" srcOrd="0" destOrd="0" presId="urn:microsoft.com/office/officeart/2005/8/layout/radial6"/>
    <dgm:cxn modelId="{3CB628D8-BD69-4FA5-8A8B-BF3E5F17E7BE}" type="presOf" srcId="{F654C4C7-6B14-4C96-B5D9-11A4FDB96776}" destId="{741B2DF8-2701-4AA0-8051-4CB38C101807}" srcOrd="0" destOrd="0" presId="urn:microsoft.com/office/officeart/2005/8/layout/radial6"/>
    <dgm:cxn modelId="{690017EC-A171-46A0-A84A-EBD1C3D9C04F}" srcId="{776F7092-7B49-4CBE-8189-0109778A462D}" destId="{73BF42A4-371E-4F60-9611-B82E5A572198}" srcOrd="1" destOrd="0" parTransId="{DD6252FB-5D09-4342-9ADF-C62E69E11A79}" sibTransId="{B19D663E-C5F2-470C-B63B-823E1D3567DA}"/>
    <dgm:cxn modelId="{BEDA6C4B-BF0E-47E9-AFB1-383719740EC1}" type="presParOf" srcId="{62F255FE-A14A-465B-95A1-D8097FB2C002}" destId="{C27A2053-386D-489D-AA60-FBE20E19E44E}" srcOrd="0" destOrd="0" presId="urn:microsoft.com/office/officeart/2005/8/layout/radial6"/>
    <dgm:cxn modelId="{005E9370-7944-4630-9BED-43ED259E4FD5}" type="presParOf" srcId="{62F255FE-A14A-465B-95A1-D8097FB2C002}" destId="{741B2DF8-2701-4AA0-8051-4CB38C101807}" srcOrd="1" destOrd="0" presId="urn:microsoft.com/office/officeart/2005/8/layout/radial6"/>
    <dgm:cxn modelId="{622D43A4-9B9E-4632-AAE8-22E8C9D943C6}" type="presParOf" srcId="{62F255FE-A14A-465B-95A1-D8097FB2C002}" destId="{33A45E58-1FA0-4DCA-8F2A-B6C17304DA90}" srcOrd="2" destOrd="0" presId="urn:microsoft.com/office/officeart/2005/8/layout/radial6"/>
    <dgm:cxn modelId="{20534AEE-95E4-42EA-8E72-646920E61D80}" type="presParOf" srcId="{62F255FE-A14A-465B-95A1-D8097FB2C002}" destId="{0EE13FF2-49F6-4903-9F0A-82E89F098F86}" srcOrd="3" destOrd="0" presId="urn:microsoft.com/office/officeart/2005/8/layout/radial6"/>
    <dgm:cxn modelId="{2CB30375-0C0B-4AD9-AEBA-FB54482379B4}" type="presParOf" srcId="{62F255FE-A14A-465B-95A1-D8097FB2C002}" destId="{06A0D047-D349-4D3B-AAAE-349BC801B645}" srcOrd="4" destOrd="0" presId="urn:microsoft.com/office/officeart/2005/8/layout/radial6"/>
    <dgm:cxn modelId="{450617AC-92FC-4296-9285-6C8E4CAB390E}" type="presParOf" srcId="{62F255FE-A14A-465B-95A1-D8097FB2C002}" destId="{75B204B0-A6B4-43C0-907A-32673DCACD0E}" srcOrd="5" destOrd="0" presId="urn:microsoft.com/office/officeart/2005/8/layout/radial6"/>
    <dgm:cxn modelId="{99CD1812-8F38-4AF6-9B2E-24B3D9D48E88}" type="presParOf" srcId="{62F255FE-A14A-465B-95A1-D8097FB2C002}" destId="{C70EB264-9B6F-40F1-A658-F80810445BA0}" srcOrd="6" destOrd="0" presId="urn:microsoft.com/office/officeart/2005/8/layout/radial6"/>
    <dgm:cxn modelId="{00C5A0F4-E105-41BC-AB69-B61E61210752}" type="presParOf" srcId="{62F255FE-A14A-465B-95A1-D8097FB2C002}" destId="{6931BA0F-74B7-4E92-97A3-17DAA93F8F48}" srcOrd="7" destOrd="0" presId="urn:microsoft.com/office/officeart/2005/8/layout/radial6"/>
    <dgm:cxn modelId="{12BB3179-7C43-4B29-AE32-290FC1F2B620}" type="presParOf" srcId="{62F255FE-A14A-465B-95A1-D8097FB2C002}" destId="{62006A9F-0B67-4EBB-878F-75D74EDDFF93}" srcOrd="8" destOrd="0" presId="urn:microsoft.com/office/officeart/2005/8/layout/radial6"/>
    <dgm:cxn modelId="{893A65EF-9A71-4CFA-9905-7A6DF58D43B2}" type="presParOf" srcId="{62F255FE-A14A-465B-95A1-D8097FB2C002}" destId="{6D07B120-24D2-4E9E-962C-063FB72474C7}" srcOrd="9"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07B120-24D2-4E9E-962C-063FB72474C7}">
      <dsp:nvSpPr>
        <dsp:cNvPr id="0" name=""/>
        <dsp:cNvSpPr/>
      </dsp:nvSpPr>
      <dsp:spPr>
        <a:xfrm>
          <a:off x="1426071" y="395494"/>
          <a:ext cx="2634257" cy="2634257"/>
        </a:xfrm>
        <a:prstGeom prst="blockArc">
          <a:avLst>
            <a:gd name="adj1" fmla="val 9000000"/>
            <a:gd name="adj2" fmla="val 16200000"/>
            <a:gd name="adj3" fmla="val 464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0EB264-9B6F-40F1-A658-F80810445BA0}">
      <dsp:nvSpPr>
        <dsp:cNvPr id="0" name=""/>
        <dsp:cNvSpPr/>
      </dsp:nvSpPr>
      <dsp:spPr>
        <a:xfrm>
          <a:off x="1426071" y="395494"/>
          <a:ext cx="2634257" cy="2634257"/>
        </a:xfrm>
        <a:prstGeom prst="blockArc">
          <a:avLst>
            <a:gd name="adj1" fmla="val 1800000"/>
            <a:gd name="adj2" fmla="val 9000000"/>
            <a:gd name="adj3" fmla="val 464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E13FF2-49F6-4903-9F0A-82E89F098F86}">
      <dsp:nvSpPr>
        <dsp:cNvPr id="0" name=""/>
        <dsp:cNvSpPr/>
      </dsp:nvSpPr>
      <dsp:spPr>
        <a:xfrm>
          <a:off x="1426071" y="395494"/>
          <a:ext cx="2634257" cy="2634257"/>
        </a:xfrm>
        <a:prstGeom prst="blockArc">
          <a:avLst>
            <a:gd name="adj1" fmla="val 16200000"/>
            <a:gd name="adj2" fmla="val 1800000"/>
            <a:gd name="adj3" fmla="val 464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7A2053-386D-489D-AA60-FBE20E19E44E}">
      <dsp:nvSpPr>
        <dsp:cNvPr id="0" name=""/>
        <dsp:cNvSpPr/>
      </dsp:nvSpPr>
      <dsp:spPr>
        <a:xfrm>
          <a:off x="2136427" y="1105851"/>
          <a:ext cx="1213544" cy="121354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Quality of Care and Quality of Life for Residents</a:t>
          </a:r>
        </a:p>
      </dsp:txBody>
      <dsp:txXfrm>
        <a:off x="2314146" y="1283570"/>
        <a:ext cx="858106" cy="858106"/>
      </dsp:txXfrm>
    </dsp:sp>
    <dsp:sp modelId="{741B2DF8-2701-4AA0-8051-4CB38C101807}">
      <dsp:nvSpPr>
        <dsp:cNvPr id="0" name=""/>
        <dsp:cNvSpPr/>
      </dsp:nvSpPr>
      <dsp:spPr>
        <a:xfrm>
          <a:off x="2318459" y="1335"/>
          <a:ext cx="849481" cy="84948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Quality Operational Performance </a:t>
          </a:r>
        </a:p>
      </dsp:txBody>
      <dsp:txXfrm>
        <a:off x="2442863" y="125739"/>
        <a:ext cx="600673" cy="600673"/>
      </dsp:txXfrm>
    </dsp:sp>
    <dsp:sp modelId="{06A0D047-D349-4D3B-AAAE-349BC801B645}">
      <dsp:nvSpPr>
        <dsp:cNvPr id="0" name=""/>
        <dsp:cNvSpPr/>
      </dsp:nvSpPr>
      <dsp:spPr>
        <a:xfrm>
          <a:off x="3432642" y="1931156"/>
          <a:ext cx="849481" cy="84948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QAPI Plan </a:t>
          </a:r>
        </a:p>
      </dsp:txBody>
      <dsp:txXfrm>
        <a:off x="3557046" y="2055560"/>
        <a:ext cx="600673" cy="600673"/>
      </dsp:txXfrm>
    </dsp:sp>
    <dsp:sp modelId="{6931BA0F-74B7-4E92-97A3-17DAA93F8F48}">
      <dsp:nvSpPr>
        <dsp:cNvPr id="0" name=""/>
        <dsp:cNvSpPr/>
      </dsp:nvSpPr>
      <dsp:spPr>
        <a:xfrm>
          <a:off x="1204276" y="1931156"/>
          <a:ext cx="849481" cy="84948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Facilty Assessment</a:t>
          </a:r>
        </a:p>
      </dsp:txBody>
      <dsp:txXfrm>
        <a:off x="1328680" y="2055560"/>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D457-7B0F-46C7-A776-ABC0EA58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Laura Richert</cp:lastModifiedBy>
  <cp:revision>4</cp:revision>
  <dcterms:created xsi:type="dcterms:W3CDTF">2017-08-31T01:56:00Z</dcterms:created>
  <dcterms:modified xsi:type="dcterms:W3CDTF">2017-09-07T18:51:00Z</dcterms:modified>
</cp:coreProperties>
</file>