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0C1EC572" w:rsidR="00301AA8" w:rsidRPr="005E4A3D" w:rsidRDefault="0027474D">
                            <w:pPr>
                              <w:rPr>
                                <w:rFonts w:ascii="Calibri" w:hAnsi="Calibri"/>
                                <w:b/>
                                <w:color w:val="FFFFFF" w:themeColor="background1"/>
                                <w:sz w:val="72"/>
                              </w:rPr>
                            </w:pPr>
                            <w:r>
                              <w:rPr>
                                <w:rFonts w:ascii="Calibri" w:hAnsi="Calibri"/>
                                <w:b/>
                                <w:color w:val="FFFFFF" w:themeColor="background1"/>
                                <w:sz w:val="72"/>
                              </w:rPr>
                              <w:t>Transition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0C1EC572" w:rsidR="00301AA8" w:rsidRPr="005E4A3D" w:rsidRDefault="0027474D">
                      <w:pPr>
                        <w:rPr>
                          <w:rFonts w:ascii="Calibri" w:hAnsi="Calibri"/>
                          <w:b/>
                          <w:color w:val="FFFFFF" w:themeColor="background1"/>
                          <w:sz w:val="72"/>
                        </w:rPr>
                      </w:pPr>
                      <w:r>
                        <w:rPr>
                          <w:rFonts w:ascii="Calibri" w:hAnsi="Calibri"/>
                          <w:b/>
                          <w:color w:val="FFFFFF" w:themeColor="background1"/>
                          <w:sz w:val="72"/>
                        </w:rPr>
                        <w:t>Transition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68C04757">
                <wp:simplePos x="0" y="0"/>
                <wp:positionH relativeFrom="column">
                  <wp:posOffset>18415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B53D30"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B53D30">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1.4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" filled="f" stroked="f" strokeweight=".5pt">
                <v:textbox>
                  <w:txbxContent>
                    <w:p w14:paraId="030DB412" w14:textId="1DCD5CE3" w:rsidR="00484844" w:rsidRPr="00B53D30"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B53D30">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69E74E44" w14:textId="30A24E90" w:rsidR="0027474D" w:rsidRPr="0027474D" w:rsidRDefault="0027474D" w:rsidP="0027474D">
      <w:pPr>
        <w:jc w:val="center"/>
        <w:rPr>
          <w:rFonts w:ascii="Calibri" w:hAnsi="Calibri" w:cs="Calibri"/>
          <w:b/>
          <w:sz w:val="28"/>
          <w:szCs w:val="28"/>
        </w:rPr>
      </w:pPr>
      <w:r w:rsidRPr="0027474D">
        <w:rPr>
          <w:rFonts w:ascii="Calibri" w:hAnsi="Calibri" w:cs="Calibri"/>
          <w:b/>
          <w:sz w:val="28"/>
          <w:szCs w:val="28"/>
        </w:rPr>
        <w:lastRenderedPageBreak/>
        <w:t>Transition Care</w:t>
      </w:r>
    </w:p>
    <w:p w14:paraId="5DACB996" w14:textId="77777777" w:rsidR="0027474D" w:rsidRPr="0027474D" w:rsidRDefault="0027474D" w:rsidP="0027474D">
      <w:pPr>
        <w:rPr>
          <w:rFonts w:ascii="Calibri" w:hAnsi="Calibri" w:cs="Calibri"/>
          <w:b/>
          <w:sz w:val="28"/>
          <w:szCs w:val="28"/>
        </w:rPr>
      </w:pPr>
    </w:p>
    <w:p w14:paraId="69B26A0E" w14:textId="77777777" w:rsidR="0027474D" w:rsidRPr="0027474D" w:rsidRDefault="0027474D" w:rsidP="0027474D">
      <w:pPr>
        <w:rPr>
          <w:rFonts w:ascii="Calibri" w:hAnsi="Calibri" w:cs="Calibri"/>
          <w:szCs w:val="24"/>
        </w:rPr>
      </w:pPr>
      <w:r w:rsidRPr="0027474D">
        <w:rPr>
          <w:rFonts w:ascii="Calibri" w:hAnsi="Calibri" w:cs="Calibri"/>
          <w:szCs w:val="24"/>
        </w:rPr>
        <w:t>CMS defines transition of care as, “The movement of a patient from one setting of care (hospital, ambulatory primary care practice, ambulatory specialty care practice, long-term care, home health, rehabilitation facility) to another.”</w:t>
      </w:r>
      <w:r w:rsidRPr="0027474D">
        <w:rPr>
          <w:rStyle w:val="FootnoteReference"/>
          <w:rFonts w:ascii="Calibri" w:hAnsi="Calibri" w:cs="Calibri"/>
          <w:szCs w:val="24"/>
        </w:rPr>
        <w:footnoteReference w:id="1"/>
      </w:r>
    </w:p>
    <w:p w14:paraId="0790BDF8" w14:textId="77777777" w:rsidR="0027474D" w:rsidRDefault="0027474D" w:rsidP="0027474D">
      <w:pPr>
        <w:rPr>
          <w:rFonts w:ascii="Calibri" w:hAnsi="Calibri" w:cs="Calibri"/>
          <w:szCs w:val="24"/>
        </w:rPr>
      </w:pPr>
    </w:p>
    <w:p w14:paraId="7C9B95BD" w14:textId="79CEA4AF" w:rsidR="0027474D" w:rsidRPr="0027474D" w:rsidRDefault="0027474D" w:rsidP="0027474D">
      <w:pPr>
        <w:rPr>
          <w:rFonts w:ascii="Calibri" w:hAnsi="Calibri" w:cs="Calibri"/>
          <w:szCs w:val="24"/>
        </w:rPr>
      </w:pPr>
      <w:r w:rsidRPr="0027474D">
        <w:rPr>
          <w:rFonts w:ascii="Calibri" w:hAnsi="Calibri" w:cs="Calibri"/>
          <w:szCs w:val="24"/>
        </w:rPr>
        <w:t>Transition of care management, communication, collaboration and adequate planning are crucial for all transition of care episodes.  Proper planning and identified individualized needs and preferences will be instrumental in the development of a transition of care plan.</w:t>
      </w:r>
    </w:p>
    <w:p w14:paraId="5E25DC4E" w14:textId="77777777" w:rsidR="0027474D" w:rsidRDefault="0027474D" w:rsidP="0027474D">
      <w:pPr>
        <w:rPr>
          <w:rFonts w:ascii="Calibri" w:hAnsi="Calibri" w:cs="Calibri"/>
          <w:szCs w:val="24"/>
        </w:rPr>
      </w:pPr>
    </w:p>
    <w:p w14:paraId="77CC811F" w14:textId="53E39DB4" w:rsidR="0027474D" w:rsidRPr="0027474D" w:rsidRDefault="0027474D" w:rsidP="0027474D">
      <w:pPr>
        <w:rPr>
          <w:rFonts w:ascii="Calibri" w:hAnsi="Calibri" w:cs="Calibri"/>
          <w:szCs w:val="24"/>
        </w:rPr>
      </w:pPr>
      <w:r w:rsidRPr="0027474D">
        <w:rPr>
          <w:rFonts w:ascii="Calibri" w:hAnsi="Calibri" w:cs="Calibri"/>
          <w:szCs w:val="24"/>
        </w:rPr>
        <w:t>Transition of Care Planning is essential for all resident transfers.  The United States government indicates:</w:t>
      </w:r>
    </w:p>
    <w:p w14:paraId="34E1C231" w14:textId="77777777" w:rsidR="0027474D" w:rsidRDefault="0027474D" w:rsidP="0027474D">
      <w:pPr>
        <w:rPr>
          <w:rFonts w:ascii="Calibri" w:hAnsi="Calibri" w:cs="Calibri"/>
          <w:szCs w:val="24"/>
        </w:rPr>
      </w:pPr>
    </w:p>
    <w:p w14:paraId="7B828010" w14:textId="56D49840" w:rsidR="0027474D" w:rsidRPr="0027474D" w:rsidRDefault="0027474D" w:rsidP="0027474D">
      <w:pPr>
        <w:rPr>
          <w:rFonts w:ascii="Calibri" w:hAnsi="Calibri" w:cs="Calibri"/>
          <w:color w:val="000000"/>
          <w:szCs w:val="24"/>
        </w:rPr>
      </w:pPr>
      <w:r w:rsidRPr="0027474D">
        <w:rPr>
          <w:rFonts w:ascii="Calibri" w:hAnsi="Calibri" w:cs="Calibri"/>
          <w:szCs w:val="24"/>
        </w:rPr>
        <w:t xml:space="preserve"> “</w:t>
      </w:r>
      <w:r w:rsidRPr="0027474D">
        <w:rPr>
          <w:rFonts w:ascii="Calibri" w:hAnsi="Calibri" w:cs="Calibri"/>
          <w:color w:val="000000"/>
          <w:szCs w:val="24"/>
        </w:rPr>
        <w:t>Improving care transitions between care settings is critical to improving individuals’ quality of care and quality of life and their outcomes.  Effective care transitions:</w:t>
      </w:r>
    </w:p>
    <w:p w14:paraId="5877E51D" w14:textId="77777777" w:rsidR="0027474D" w:rsidRPr="0027474D" w:rsidRDefault="0027474D" w:rsidP="0027474D">
      <w:pPr>
        <w:numPr>
          <w:ilvl w:val="0"/>
          <w:numId w:val="43"/>
        </w:numPr>
        <w:rPr>
          <w:rFonts w:ascii="Calibri" w:hAnsi="Calibri" w:cs="Calibri"/>
          <w:color w:val="000000"/>
          <w:szCs w:val="24"/>
        </w:rPr>
      </w:pPr>
      <w:r w:rsidRPr="0027474D">
        <w:rPr>
          <w:rFonts w:ascii="Calibri" w:hAnsi="Calibri" w:cs="Calibri"/>
          <w:color w:val="000000"/>
          <w:szCs w:val="24"/>
        </w:rPr>
        <w:t>Prevent medical errors</w:t>
      </w:r>
    </w:p>
    <w:p w14:paraId="0A9D7AC1" w14:textId="77777777" w:rsidR="0027474D" w:rsidRPr="0027474D" w:rsidRDefault="0027474D" w:rsidP="0027474D">
      <w:pPr>
        <w:numPr>
          <w:ilvl w:val="0"/>
          <w:numId w:val="43"/>
        </w:numPr>
        <w:rPr>
          <w:rFonts w:ascii="Calibri" w:hAnsi="Calibri" w:cs="Calibri"/>
          <w:color w:val="000000"/>
          <w:szCs w:val="24"/>
        </w:rPr>
      </w:pPr>
      <w:r w:rsidRPr="0027474D">
        <w:rPr>
          <w:rFonts w:ascii="Calibri" w:hAnsi="Calibri" w:cs="Calibri"/>
          <w:color w:val="000000"/>
          <w:szCs w:val="24"/>
        </w:rPr>
        <w:t>Identify issues for early intervention</w:t>
      </w:r>
    </w:p>
    <w:p w14:paraId="567B0332" w14:textId="77777777" w:rsidR="0027474D" w:rsidRPr="0027474D" w:rsidRDefault="0027474D" w:rsidP="0027474D">
      <w:pPr>
        <w:numPr>
          <w:ilvl w:val="0"/>
          <w:numId w:val="43"/>
        </w:numPr>
        <w:rPr>
          <w:rFonts w:ascii="Calibri" w:hAnsi="Calibri" w:cs="Calibri"/>
          <w:color w:val="000000"/>
          <w:szCs w:val="24"/>
        </w:rPr>
      </w:pPr>
      <w:r w:rsidRPr="0027474D">
        <w:rPr>
          <w:rFonts w:ascii="Calibri" w:hAnsi="Calibri" w:cs="Calibri"/>
          <w:color w:val="000000"/>
          <w:szCs w:val="24"/>
        </w:rPr>
        <w:t>Prevent unnecessary hospitalizations and readmissions</w:t>
      </w:r>
    </w:p>
    <w:p w14:paraId="48368123" w14:textId="77777777" w:rsidR="0027474D" w:rsidRPr="0027474D" w:rsidRDefault="0027474D" w:rsidP="0027474D">
      <w:pPr>
        <w:numPr>
          <w:ilvl w:val="0"/>
          <w:numId w:val="43"/>
        </w:numPr>
        <w:rPr>
          <w:rFonts w:ascii="Calibri" w:hAnsi="Calibri" w:cs="Calibri"/>
          <w:color w:val="000000"/>
          <w:szCs w:val="24"/>
        </w:rPr>
      </w:pPr>
      <w:r w:rsidRPr="0027474D">
        <w:rPr>
          <w:rFonts w:ascii="Calibri" w:hAnsi="Calibri" w:cs="Calibri"/>
          <w:color w:val="000000"/>
          <w:szCs w:val="24"/>
        </w:rPr>
        <w:t>Support consumers preferences and choices</w:t>
      </w:r>
    </w:p>
    <w:p w14:paraId="6E04EBBC" w14:textId="77777777" w:rsidR="0027474D" w:rsidRPr="0027474D" w:rsidRDefault="0027474D" w:rsidP="0027474D">
      <w:pPr>
        <w:numPr>
          <w:ilvl w:val="0"/>
          <w:numId w:val="43"/>
        </w:numPr>
        <w:rPr>
          <w:rFonts w:ascii="Calibri" w:hAnsi="Calibri" w:cs="Calibri"/>
          <w:color w:val="000000"/>
          <w:szCs w:val="24"/>
        </w:rPr>
      </w:pPr>
      <w:r w:rsidRPr="0027474D">
        <w:rPr>
          <w:rFonts w:ascii="Calibri" w:hAnsi="Calibri" w:cs="Calibri"/>
          <w:color w:val="000000"/>
          <w:szCs w:val="24"/>
        </w:rPr>
        <w:t>Avoid duplication of processes and efforts to more effectively utilize resources”</w:t>
      </w:r>
      <w:r w:rsidRPr="0027474D">
        <w:rPr>
          <w:rStyle w:val="FootnoteReference"/>
          <w:rFonts w:ascii="Calibri" w:hAnsi="Calibri" w:cs="Calibri"/>
          <w:color w:val="000000"/>
          <w:szCs w:val="24"/>
        </w:rPr>
        <w:footnoteReference w:id="2"/>
      </w:r>
    </w:p>
    <w:p w14:paraId="4DD48B33" w14:textId="77777777" w:rsidR="0027474D" w:rsidRPr="0027474D" w:rsidRDefault="0027474D" w:rsidP="0027474D">
      <w:pPr>
        <w:rPr>
          <w:rFonts w:ascii="Calibri" w:hAnsi="Calibri" w:cs="Calibri"/>
          <w:szCs w:val="24"/>
        </w:rPr>
      </w:pPr>
    </w:p>
    <w:p w14:paraId="6DECFFC3" w14:textId="77777777" w:rsidR="0027474D" w:rsidRPr="0027474D" w:rsidRDefault="0027474D" w:rsidP="0027474D">
      <w:pPr>
        <w:pStyle w:val="NormalWeb"/>
        <w:spacing w:before="0" w:beforeAutospacing="0" w:after="0" w:afterAutospacing="0"/>
        <w:rPr>
          <w:rFonts w:ascii="Calibri" w:hAnsi="Calibri" w:cs="Calibri"/>
          <w:b/>
          <w:sz w:val="28"/>
          <w:szCs w:val="28"/>
        </w:rPr>
      </w:pPr>
    </w:p>
    <w:p w14:paraId="381CCCAF" w14:textId="2AD5AEC7" w:rsidR="0027474D" w:rsidRDefault="0027474D" w:rsidP="0027474D">
      <w:pPr>
        <w:pStyle w:val="NormalWeb"/>
        <w:spacing w:before="0" w:beforeAutospacing="0" w:after="0" w:afterAutospacing="0"/>
        <w:rPr>
          <w:rFonts w:ascii="Calibri" w:hAnsi="Calibri" w:cs="Calibri"/>
          <w:b/>
        </w:rPr>
      </w:pPr>
      <w:r w:rsidRPr="0027474D">
        <w:rPr>
          <w:rFonts w:ascii="Calibri" w:hAnsi="Calibri" w:cs="Calibri"/>
          <w:b/>
        </w:rPr>
        <w:t>General Information</w:t>
      </w:r>
    </w:p>
    <w:p w14:paraId="629EE308" w14:textId="77777777" w:rsidR="0027474D" w:rsidRPr="0027474D" w:rsidRDefault="0027474D" w:rsidP="0027474D">
      <w:pPr>
        <w:pStyle w:val="NormalWeb"/>
        <w:spacing w:before="0" w:beforeAutospacing="0" w:after="0" w:afterAutospacing="0"/>
        <w:rPr>
          <w:rFonts w:ascii="Calibri" w:hAnsi="Calibri" w:cs="Calibri"/>
          <w:b/>
        </w:rPr>
      </w:pPr>
    </w:p>
    <w:p w14:paraId="43E51E54" w14:textId="77777777" w:rsidR="0027474D" w:rsidRPr="0027474D" w:rsidRDefault="0027474D" w:rsidP="0027474D">
      <w:pPr>
        <w:rPr>
          <w:rFonts w:ascii="Calibri" w:hAnsi="Calibri" w:cs="Calibri"/>
          <w:color w:val="000000"/>
          <w:szCs w:val="24"/>
        </w:rPr>
      </w:pPr>
      <w:r w:rsidRPr="0027474D">
        <w:rPr>
          <w:rFonts w:ascii="Calibri" w:hAnsi="Calibri" w:cs="Calibri"/>
          <w:color w:val="000000"/>
          <w:szCs w:val="24"/>
        </w:rPr>
        <w:t>Transition planning on returning to the community begins prior to admission and continues throughout the client/resident stay. The goal is to transition the client/resident to the least restrictive environment that will maintain and/or improve the level of function achieved during the skilled nursing stay.  Care transition also includes comprehensive communication and collaboration from the setting prior to admission to the facility to ensure quality, person-centered care is delivered.</w:t>
      </w:r>
    </w:p>
    <w:p w14:paraId="1E322A42" w14:textId="77777777" w:rsidR="0027474D" w:rsidRDefault="0027474D" w:rsidP="0027474D">
      <w:pPr>
        <w:pStyle w:val="NormalWeb"/>
        <w:spacing w:before="0" w:beforeAutospacing="0" w:after="0" w:afterAutospacing="0"/>
        <w:rPr>
          <w:rFonts w:ascii="Calibri" w:eastAsia="Times New Roman" w:hAnsi="Calibri" w:cs="Calibri"/>
          <w:color w:val="333333"/>
        </w:rPr>
      </w:pPr>
    </w:p>
    <w:p w14:paraId="47C964AA" w14:textId="0478827A" w:rsidR="0027474D" w:rsidRPr="0027474D" w:rsidRDefault="0027474D" w:rsidP="0027474D">
      <w:pPr>
        <w:pStyle w:val="NormalWeb"/>
        <w:spacing w:before="0" w:beforeAutospacing="0" w:after="0" w:afterAutospacing="0"/>
        <w:rPr>
          <w:rFonts w:ascii="Calibri" w:eastAsia="Times New Roman" w:hAnsi="Calibri" w:cs="Calibri"/>
          <w:color w:val="333333"/>
        </w:rPr>
      </w:pPr>
      <w:r w:rsidRPr="0027474D">
        <w:rPr>
          <w:rFonts w:ascii="Calibri" w:eastAsia="Times New Roman" w:hAnsi="Calibri" w:cs="Calibri"/>
          <w:color w:val="333333"/>
        </w:rPr>
        <w:t xml:space="preserve">§483.21(c)(1) Discharge Planning Process </w:t>
      </w:r>
    </w:p>
    <w:p w14:paraId="1427BA08" w14:textId="77777777" w:rsidR="0027474D" w:rsidRPr="0027474D" w:rsidRDefault="0027474D" w:rsidP="0027474D">
      <w:pPr>
        <w:pStyle w:val="NormalWeb"/>
        <w:spacing w:before="0" w:beforeAutospacing="0" w:after="0" w:afterAutospacing="0"/>
        <w:rPr>
          <w:rFonts w:ascii="Calibri" w:eastAsia="Times New Roman" w:hAnsi="Calibri" w:cs="Calibri"/>
          <w:color w:val="333333"/>
        </w:rPr>
      </w:pPr>
      <w:r w:rsidRPr="0027474D">
        <w:rPr>
          <w:rFonts w:ascii="Calibri" w:eastAsia="Times New Roman" w:hAnsi="Calibri" w:cs="Calibri"/>
          <w:color w:val="333333"/>
        </w:rPr>
        <w:t xml:space="preserve">“The facility must develop and implement an effective discharge planning process that focuses on the resident’s discharge goals, the preparation of residents to be active partners and effectively transition them to post-discharge care, and the reduction of factors leading to </w:t>
      </w:r>
      <w:r w:rsidRPr="0027474D">
        <w:rPr>
          <w:rFonts w:ascii="Calibri" w:eastAsia="Times New Roman" w:hAnsi="Calibri" w:cs="Calibri"/>
          <w:color w:val="333333"/>
        </w:rPr>
        <w:lastRenderedPageBreak/>
        <w:t xml:space="preserve">preventable readmissions. The facility’s discharge planning process must be consistent with the discharge rights set forth at 483.15(b) as applicable and— </w:t>
      </w:r>
    </w:p>
    <w:p w14:paraId="53188A70" w14:textId="77777777" w:rsidR="0027474D" w:rsidRPr="0027474D" w:rsidRDefault="0027474D" w:rsidP="0027474D">
      <w:pPr>
        <w:pStyle w:val="NormalWeb"/>
        <w:numPr>
          <w:ilvl w:val="0"/>
          <w:numId w:val="41"/>
        </w:numPr>
        <w:spacing w:before="0" w:beforeAutospacing="0" w:after="0" w:afterAutospacing="0"/>
        <w:rPr>
          <w:rFonts w:ascii="Calibri" w:eastAsia="Times New Roman" w:hAnsi="Calibri" w:cs="Calibri"/>
          <w:color w:val="333333"/>
        </w:rPr>
      </w:pPr>
      <w:r w:rsidRPr="0027474D">
        <w:rPr>
          <w:rFonts w:ascii="Calibri" w:eastAsia="Times New Roman" w:hAnsi="Calibri" w:cs="Calibri"/>
          <w:color w:val="333333"/>
        </w:rPr>
        <w:t xml:space="preserve">Ensure that the discharge needs of each resident are identified and result in the development of a discharge plan for each resident. </w:t>
      </w:r>
    </w:p>
    <w:p w14:paraId="6F83DA1A" w14:textId="77777777" w:rsidR="0027474D" w:rsidRPr="0027474D" w:rsidRDefault="0027474D" w:rsidP="0027474D">
      <w:pPr>
        <w:pStyle w:val="NormalWeb"/>
        <w:numPr>
          <w:ilvl w:val="0"/>
          <w:numId w:val="41"/>
        </w:numPr>
        <w:spacing w:before="0" w:beforeAutospacing="0" w:after="0" w:afterAutospacing="0"/>
        <w:rPr>
          <w:rFonts w:ascii="Calibri" w:eastAsia="Times New Roman" w:hAnsi="Calibri" w:cs="Calibri"/>
          <w:color w:val="333333"/>
        </w:rPr>
      </w:pPr>
      <w:r w:rsidRPr="0027474D">
        <w:rPr>
          <w:rFonts w:ascii="Calibri" w:eastAsia="Times New Roman" w:hAnsi="Calibri" w:cs="Calibri"/>
          <w:color w:val="333333"/>
        </w:rPr>
        <w:t xml:space="preserve">Include regular re-evaluation of residents to identify changes that require modification of the discharge plan. The discharge plan must be updated, as needed, to reflect these changes. </w:t>
      </w:r>
    </w:p>
    <w:p w14:paraId="30531B78" w14:textId="77777777" w:rsidR="0027474D" w:rsidRPr="0027474D" w:rsidRDefault="0027474D" w:rsidP="0027474D">
      <w:pPr>
        <w:pStyle w:val="NormalWeb"/>
        <w:numPr>
          <w:ilvl w:val="0"/>
          <w:numId w:val="41"/>
        </w:numPr>
        <w:spacing w:before="0" w:beforeAutospacing="0" w:after="0" w:afterAutospacing="0"/>
        <w:rPr>
          <w:rFonts w:ascii="Calibri" w:eastAsia="Times New Roman" w:hAnsi="Calibri" w:cs="Calibri"/>
          <w:color w:val="333333"/>
        </w:rPr>
      </w:pPr>
      <w:r w:rsidRPr="0027474D">
        <w:rPr>
          <w:rFonts w:ascii="Calibri" w:eastAsia="Times New Roman" w:hAnsi="Calibri" w:cs="Calibri"/>
          <w:color w:val="333333"/>
        </w:rPr>
        <w:t xml:space="preserve">Involve the interdisciplinary team, as defined by §483.21(b)(2)(ii), in the ongoing process of developing the discharge plan. </w:t>
      </w:r>
    </w:p>
    <w:p w14:paraId="7F51A687" w14:textId="77777777" w:rsidR="0027474D" w:rsidRPr="0027474D" w:rsidRDefault="0027474D" w:rsidP="0027474D">
      <w:pPr>
        <w:pStyle w:val="NormalWeb"/>
        <w:numPr>
          <w:ilvl w:val="0"/>
          <w:numId w:val="41"/>
        </w:numPr>
        <w:spacing w:before="0" w:beforeAutospacing="0" w:after="0" w:afterAutospacing="0"/>
        <w:rPr>
          <w:rFonts w:ascii="Calibri" w:eastAsia="Times New Roman" w:hAnsi="Calibri" w:cs="Calibri"/>
          <w:color w:val="333333"/>
        </w:rPr>
      </w:pPr>
      <w:r w:rsidRPr="0027474D">
        <w:rPr>
          <w:rFonts w:ascii="Calibri" w:eastAsia="Times New Roman" w:hAnsi="Calibri" w:cs="Calibri"/>
          <w:color w:val="333333"/>
        </w:rPr>
        <w:t xml:space="preserve">Consider caregiver/support person availability and the resident’s or caregiver’s/support person(s) capacity and capability to perform required care, as part of the identification of discharge needs. </w:t>
      </w:r>
    </w:p>
    <w:p w14:paraId="7A6E845F" w14:textId="77777777" w:rsidR="0027474D" w:rsidRPr="0027474D" w:rsidRDefault="0027474D" w:rsidP="0027474D">
      <w:pPr>
        <w:pStyle w:val="NormalWeb"/>
        <w:numPr>
          <w:ilvl w:val="0"/>
          <w:numId w:val="41"/>
        </w:numPr>
        <w:spacing w:before="0" w:beforeAutospacing="0" w:after="0" w:afterAutospacing="0"/>
        <w:rPr>
          <w:rFonts w:ascii="Calibri" w:eastAsia="Times New Roman" w:hAnsi="Calibri" w:cs="Calibri"/>
          <w:color w:val="333333"/>
        </w:rPr>
      </w:pPr>
      <w:r w:rsidRPr="0027474D">
        <w:rPr>
          <w:rFonts w:ascii="Calibri" w:eastAsia="Times New Roman" w:hAnsi="Calibri" w:cs="Calibri"/>
          <w:color w:val="333333"/>
        </w:rPr>
        <w:t xml:space="preserve">Involve the resident and resident representative in the development of the discharge plan and inform the resident and resident representative of the final plan. </w:t>
      </w:r>
    </w:p>
    <w:p w14:paraId="7CD9301C" w14:textId="77777777" w:rsidR="0027474D" w:rsidRPr="0027474D" w:rsidRDefault="0027474D" w:rsidP="0027474D">
      <w:pPr>
        <w:pStyle w:val="NormalWeb"/>
        <w:numPr>
          <w:ilvl w:val="0"/>
          <w:numId w:val="41"/>
        </w:numPr>
        <w:spacing w:before="0" w:beforeAutospacing="0" w:after="0" w:afterAutospacing="0"/>
        <w:rPr>
          <w:rFonts w:ascii="Calibri" w:eastAsia="Times New Roman" w:hAnsi="Calibri" w:cs="Calibri"/>
          <w:color w:val="333333"/>
        </w:rPr>
      </w:pPr>
      <w:r w:rsidRPr="0027474D">
        <w:rPr>
          <w:rFonts w:ascii="Calibri" w:eastAsia="Times New Roman" w:hAnsi="Calibri" w:cs="Calibri"/>
          <w:color w:val="333333"/>
        </w:rPr>
        <w:t xml:space="preserve">Address the resident’s goals of care and treatment preferences. </w:t>
      </w:r>
    </w:p>
    <w:p w14:paraId="3317AF43" w14:textId="77777777" w:rsidR="0027474D" w:rsidRPr="0027474D" w:rsidRDefault="0027474D" w:rsidP="0027474D">
      <w:pPr>
        <w:pStyle w:val="NormalWeb"/>
        <w:numPr>
          <w:ilvl w:val="0"/>
          <w:numId w:val="41"/>
        </w:numPr>
        <w:spacing w:before="0" w:beforeAutospacing="0" w:after="0" w:afterAutospacing="0"/>
        <w:rPr>
          <w:rFonts w:ascii="Calibri" w:eastAsia="Times New Roman" w:hAnsi="Calibri" w:cs="Calibri"/>
          <w:color w:val="333333"/>
        </w:rPr>
      </w:pPr>
      <w:r w:rsidRPr="0027474D">
        <w:rPr>
          <w:rFonts w:ascii="Calibri" w:eastAsia="Times New Roman" w:hAnsi="Calibri" w:cs="Calibri"/>
          <w:color w:val="333333"/>
        </w:rPr>
        <w:t xml:space="preserve">Document that a resident has been asked about their interest in receiving information regarding returning to the community. </w:t>
      </w:r>
    </w:p>
    <w:p w14:paraId="2EAB7861" w14:textId="77777777" w:rsidR="0027474D" w:rsidRPr="0027474D" w:rsidRDefault="0027474D" w:rsidP="0027474D">
      <w:pPr>
        <w:pStyle w:val="NormalWeb"/>
        <w:spacing w:before="0" w:beforeAutospacing="0" w:after="0" w:afterAutospacing="0"/>
        <w:ind w:left="1080"/>
        <w:rPr>
          <w:rFonts w:ascii="Calibri" w:eastAsia="Times New Roman" w:hAnsi="Calibri" w:cs="Calibri"/>
          <w:color w:val="333333"/>
        </w:rPr>
      </w:pPr>
      <w:r w:rsidRPr="0027474D">
        <w:rPr>
          <w:rFonts w:ascii="Calibri" w:eastAsia="Times New Roman" w:hAnsi="Calibri" w:cs="Calibri"/>
          <w:color w:val="333333"/>
        </w:rPr>
        <w:t xml:space="preserve">(A) If the resident indicates an interest in returning to the community, the facility must document any referrals to local contact agencies or other appropriate entities made for this purpose. </w:t>
      </w:r>
    </w:p>
    <w:p w14:paraId="0335EF51" w14:textId="77777777" w:rsidR="0027474D" w:rsidRPr="0027474D" w:rsidRDefault="0027474D" w:rsidP="0027474D">
      <w:pPr>
        <w:pStyle w:val="NormalWeb"/>
        <w:spacing w:before="0" w:beforeAutospacing="0" w:after="0" w:afterAutospacing="0"/>
        <w:ind w:left="1080"/>
        <w:rPr>
          <w:rFonts w:ascii="Calibri" w:eastAsia="Times New Roman" w:hAnsi="Calibri" w:cs="Calibri"/>
          <w:color w:val="333333"/>
        </w:rPr>
      </w:pPr>
      <w:r w:rsidRPr="0027474D">
        <w:rPr>
          <w:rFonts w:ascii="Calibri" w:eastAsia="Times New Roman" w:hAnsi="Calibri" w:cs="Calibri"/>
          <w:color w:val="333333"/>
        </w:rPr>
        <w:t xml:space="preserve">(B) Facilities must update a resident’s comprehensive care plan and discharge plan, as appropriate, in response to information received from referrals to local contact agencies or other appropriate entities. </w:t>
      </w:r>
    </w:p>
    <w:p w14:paraId="472AB43E" w14:textId="77777777" w:rsidR="0027474D" w:rsidRPr="0027474D" w:rsidRDefault="0027474D" w:rsidP="0027474D">
      <w:pPr>
        <w:pStyle w:val="NormalWeb"/>
        <w:spacing w:before="0" w:beforeAutospacing="0" w:after="0" w:afterAutospacing="0"/>
        <w:ind w:left="1080"/>
        <w:rPr>
          <w:rFonts w:ascii="Calibri" w:eastAsia="Times New Roman" w:hAnsi="Calibri" w:cs="Calibri"/>
          <w:color w:val="333333"/>
        </w:rPr>
      </w:pPr>
      <w:r w:rsidRPr="0027474D">
        <w:rPr>
          <w:rFonts w:ascii="Calibri" w:eastAsia="Times New Roman" w:hAnsi="Calibri" w:cs="Calibri"/>
          <w:color w:val="333333"/>
        </w:rPr>
        <w:t xml:space="preserve">(C) If discharge to the community is determined to not be feasible, the facility must document who made the determination and why. </w:t>
      </w:r>
    </w:p>
    <w:p w14:paraId="4C5182BF" w14:textId="77777777" w:rsidR="0027474D" w:rsidRPr="0027474D" w:rsidRDefault="0027474D" w:rsidP="0027474D">
      <w:pPr>
        <w:pStyle w:val="NormalWeb"/>
        <w:tabs>
          <w:tab w:val="left" w:pos="1080"/>
        </w:tabs>
        <w:spacing w:before="0" w:beforeAutospacing="0" w:after="0" w:afterAutospacing="0"/>
        <w:ind w:left="1980" w:hanging="900"/>
        <w:rPr>
          <w:rFonts w:ascii="Calibri" w:eastAsia="Times New Roman" w:hAnsi="Calibri" w:cs="Calibri"/>
          <w:color w:val="333333"/>
        </w:rPr>
      </w:pPr>
      <w:r w:rsidRPr="0027474D">
        <w:rPr>
          <w:rFonts w:ascii="Calibri" w:eastAsia="Times New Roman" w:hAnsi="Calibri" w:cs="Calibri"/>
          <w:color w:val="333333"/>
        </w:rPr>
        <w:t>(viii)</w:t>
      </w:r>
      <w:r w:rsidRPr="0027474D">
        <w:rPr>
          <w:rFonts w:ascii="Calibri" w:eastAsia="Times New Roman" w:hAnsi="Calibri" w:cs="Calibri"/>
          <w:color w:val="333333"/>
        </w:rPr>
        <w:tab/>
        <w:t xml:space="preserve">For residents who are transferred to another SNF or who are discharged to a HHA, IRF, or LTCH, assist residents and their resident representatives in selecting a post-acute care provider by using data that includes, but is not limited to SNF, HHA, IRF, or LTCH standardized patient assessment data, data on quality measures, and data on resource use to the extent the data is available. The facility must ensure that the post-acute care standardized patient assessment data, data on quality measures, and data on resource use is relevant and applicable to the resident’s goals of care and treatment preferences. </w:t>
      </w:r>
    </w:p>
    <w:p w14:paraId="6E11AA28" w14:textId="77777777" w:rsidR="0027474D" w:rsidRPr="0027474D" w:rsidRDefault="0027474D" w:rsidP="0027474D">
      <w:pPr>
        <w:pStyle w:val="NormalWeb"/>
        <w:numPr>
          <w:ilvl w:val="0"/>
          <w:numId w:val="41"/>
        </w:numPr>
        <w:tabs>
          <w:tab w:val="left" w:pos="1080"/>
        </w:tabs>
        <w:spacing w:before="0" w:beforeAutospacing="0" w:after="0" w:afterAutospacing="0"/>
        <w:rPr>
          <w:rFonts w:ascii="Calibri" w:eastAsia="Times New Roman" w:hAnsi="Calibri" w:cs="Calibri"/>
          <w:color w:val="333333"/>
        </w:rPr>
      </w:pPr>
      <w:r w:rsidRPr="0027474D">
        <w:rPr>
          <w:rFonts w:ascii="Calibri" w:eastAsia="Times New Roman" w:hAnsi="Calibri" w:cs="Calibri"/>
          <w:color w:val="333333"/>
        </w:rPr>
        <w:t xml:space="preserve">Document, complete on a timely basis based on the resident’s needs, and include in the clinical record, the evaluation of the resident’s discharge needs and discharge plan. The results of the evaluation must be discussed with the resident or resident’s representative. All relevant resident information must be incorporated into the </w:t>
      </w:r>
      <w:r w:rsidRPr="0027474D">
        <w:rPr>
          <w:rFonts w:ascii="Calibri" w:eastAsia="Times New Roman" w:hAnsi="Calibri" w:cs="Calibri"/>
          <w:color w:val="333333"/>
        </w:rPr>
        <w:lastRenderedPageBreak/>
        <w:t>discharge plan to facilitate its implementation and to avoid unnecessary delays in the resident’s discharge or transfer.”</w:t>
      </w:r>
      <w:r w:rsidRPr="0027474D">
        <w:rPr>
          <w:rStyle w:val="FootnoteReference"/>
          <w:rFonts w:ascii="Calibri" w:eastAsia="Times New Roman" w:hAnsi="Calibri" w:cs="Calibri"/>
          <w:color w:val="333333"/>
        </w:rPr>
        <w:footnoteReference w:id="3"/>
      </w:r>
    </w:p>
    <w:p w14:paraId="65D0B2E2" w14:textId="77777777" w:rsidR="0027474D" w:rsidRDefault="0027474D" w:rsidP="0027474D">
      <w:pPr>
        <w:pStyle w:val="NormalWeb"/>
        <w:tabs>
          <w:tab w:val="left" w:pos="1080"/>
        </w:tabs>
        <w:spacing w:before="0" w:beforeAutospacing="0" w:after="0" w:afterAutospacing="0"/>
        <w:ind w:left="360"/>
        <w:rPr>
          <w:rFonts w:ascii="Calibri" w:hAnsi="Calibri" w:cs="Calibri"/>
        </w:rPr>
      </w:pPr>
    </w:p>
    <w:p w14:paraId="36B9B964" w14:textId="1A8BEBDA" w:rsidR="0027474D" w:rsidRPr="0027474D" w:rsidRDefault="0027474D" w:rsidP="0027474D">
      <w:pPr>
        <w:pStyle w:val="NormalWeb"/>
        <w:tabs>
          <w:tab w:val="left" w:pos="1080"/>
        </w:tabs>
        <w:spacing w:before="0" w:beforeAutospacing="0" w:after="0" w:afterAutospacing="0"/>
        <w:ind w:left="360"/>
        <w:rPr>
          <w:rFonts w:ascii="Calibri" w:hAnsi="Calibri" w:cs="Calibri"/>
        </w:rPr>
      </w:pPr>
      <w:r w:rsidRPr="0027474D">
        <w:rPr>
          <w:rFonts w:ascii="Calibri" w:hAnsi="Calibri" w:cs="Calibri"/>
        </w:rPr>
        <w:t>F624 also addresses</w:t>
      </w:r>
      <w:r w:rsidR="00D55467" w:rsidRPr="0027474D">
        <w:rPr>
          <w:rFonts w:ascii="Calibri" w:hAnsi="Calibri" w:cs="Calibri"/>
        </w:rPr>
        <w:t>: “</w:t>
      </w:r>
      <w:r w:rsidRPr="0027474D">
        <w:rPr>
          <w:rFonts w:ascii="Calibri" w:hAnsi="Calibri" w:cs="Calibri"/>
        </w:rPr>
        <w:t xml:space="preserve">Orientation for transfer or discharge.  A facility must provide and document </w:t>
      </w:r>
      <w:proofErr w:type="gramStart"/>
      <w:r w:rsidRPr="0027474D">
        <w:rPr>
          <w:rFonts w:ascii="Calibri" w:hAnsi="Calibri" w:cs="Calibri"/>
        </w:rPr>
        <w:t>sufficient</w:t>
      </w:r>
      <w:proofErr w:type="gramEnd"/>
      <w:r w:rsidRPr="0027474D">
        <w:rPr>
          <w:rFonts w:ascii="Calibri" w:hAnsi="Calibri" w:cs="Calibri"/>
        </w:rPr>
        <w:t xml:space="preserve"> preparation and orientation to residents to ensure safe and orderly transfer or discharge from the facility. This orientation must be provided in a form and manner that the resident can understand.”</w:t>
      </w:r>
      <w:r w:rsidRPr="0027474D">
        <w:rPr>
          <w:rStyle w:val="FootnoteReference"/>
          <w:rFonts w:ascii="Calibri" w:hAnsi="Calibri" w:cs="Calibri"/>
        </w:rPr>
        <w:footnoteReference w:id="4"/>
      </w:r>
    </w:p>
    <w:p w14:paraId="3DB5BF6B" w14:textId="77777777" w:rsidR="0027474D" w:rsidRDefault="0027474D" w:rsidP="0027474D">
      <w:pPr>
        <w:pStyle w:val="NormalWeb"/>
        <w:tabs>
          <w:tab w:val="left" w:pos="1080"/>
        </w:tabs>
        <w:spacing w:before="0" w:beforeAutospacing="0" w:after="0" w:afterAutospacing="0"/>
        <w:ind w:left="360"/>
        <w:rPr>
          <w:rFonts w:ascii="Calibri" w:hAnsi="Calibri" w:cs="Calibri"/>
        </w:rPr>
      </w:pPr>
    </w:p>
    <w:p w14:paraId="0E0A0AB9" w14:textId="04E3D1D5" w:rsidR="0027474D" w:rsidRDefault="0027474D" w:rsidP="0027474D">
      <w:pPr>
        <w:pStyle w:val="NormalWeb"/>
        <w:tabs>
          <w:tab w:val="left" w:pos="1080"/>
        </w:tabs>
        <w:spacing w:before="0" w:beforeAutospacing="0" w:after="0" w:afterAutospacing="0"/>
        <w:ind w:left="360"/>
        <w:rPr>
          <w:rFonts w:ascii="Calibri" w:hAnsi="Calibri" w:cs="Calibri"/>
        </w:rPr>
      </w:pPr>
      <w:r w:rsidRPr="0027474D">
        <w:rPr>
          <w:rFonts w:ascii="Calibri" w:hAnsi="Calibri" w:cs="Calibri"/>
        </w:rPr>
        <w:t>A solid system for transition of care planning will be essential for quality of care.</w:t>
      </w:r>
    </w:p>
    <w:p w14:paraId="32F57E5E" w14:textId="0EFDB983" w:rsidR="00D55467" w:rsidRDefault="00D55467" w:rsidP="0027474D">
      <w:pPr>
        <w:pStyle w:val="NormalWeb"/>
        <w:tabs>
          <w:tab w:val="left" w:pos="1080"/>
        </w:tabs>
        <w:spacing w:before="0" w:beforeAutospacing="0" w:after="0" w:afterAutospacing="0"/>
        <w:ind w:left="360"/>
        <w:rPr>
          <w:rFonts w:ascii="Calibri" w:hAnsi="Calibri" w:cs="Calibri"/>
        </w:rPr>
      </w:pPr>
    </w:p>
    <w:p w14:paraId="324A0312" w14:textId="6214AA61" w:rsidR="0027474D" w:rsidRDefault="0027474D" w:rsidP="0027474D">
      <w:pPr>
        <w:rPr>
          <w:rFonts w:ascii="Calibri" w:hAnsi="Calibri" w:cs="Calibri"/>
          <w:b/>
          <w:szCs w:val="24"/>
        </w:rPr>
      </w:pPr>
      <w:r w:rsidRPr="0027474D">
        <w:rPr>
          <w:rFonts w:ascii="Calibri" w:hAnsi="Calibri" w:cs="Calibri"/>
          <w:b/>
          <w:szCs w:val="24"/>
        </w:rPr>
        <w:t>Suggestions for Resources/Data to Support the Competency</w:t>
      </w:r>
    </w:p>
    <w:p w14:paraId="62F07161" w14:textId="77777777" w:rsidR="0027474D" w:rsidRPr="0027474D" w:rsidRDefault="0027474D" w:rsidP="0027474D">
      <w:pPr>
        <w:rPr>
          <w:rFonts w:ascii="Calibri" w:hAnsi="Calibri" w:cs="Calibri"/>
          <w:szCs w:val="24"/>
        </w:rPr>
      </w:pPr>
    </w:p>
    <w:p w14:paraId="5C64954A" w14:textId="77777777" w:rsidR="0027474D" w:rsidRPr="0027474D" w:rsidRDefault="0027474D" w:rsidP="0027474D">
      <w:pPr>
        <w:rPr>
          <w:rFonts w:ascii="Calibri" w:hAnsi="Calibri" w:cs="Calibri"/>
          <w:szCs w:val="24"/>
        </w:rPr>
      </w:pPr>
      <w:r w:rsidRPr="0027474D">
        <w:rPr>
          <w:rFonts w:ascii="Calibri" w:hAnsi="Calibri" w:cs="Calibri"/>
          <w:szCs w:val="24"/>
        </w:rPr>
        <w:t>A resource for expectations for providers for Transition Care in LTC includes AMDA Clinical Practice Guideline:  Transitions of Care in the Long-Term Care Continuum and the CMS State Operations Manual Appendix PP - Guidance to Surveyors for Long Term Care Facilities-Discharge Planning Process.</w:t>
      </w:r>
    </w:p>
    <w:p w14:paraId="090C8853" w14:textId="77777777" w:rsidR="0027474D" w:rsidRDefault="0027474D" w:rsidP="0027474D">
      <w:pPr>
        <w:rPr>
          <w:rFonts w:ascii="Calibri" w:hAnsi="Calibri" w:cs="Calibri"/>
          <w:szCs w:val="24"/>
        </w:rPr>
      </w:pPr>
    </w:p>
    <w:p w14:paraId="19C02A3A" w14:textId="34B7AD71" w:rsidR="0027474D" w:rsidRDefault="0027474D" w:rsidP="0027474D">
      <w:pPr>
        <w:rPr>
          <w:rFonts w:ascii="Calibri" w:hAnsi="Calibri" w:cs="Calibri"/>
          <w:szCs w:val="24"/>
        </w:rPr>
      </w:pPr>
      <w:r w:rsidRPr="0027474D">
        <w:rPr>
          <w:rFonts w:ascii="Calibri" w:hAnsi="Calibri" w:cs="Calibri"/>
          <w:szCs w:val="24"/>
        </w:rPr>
        <w:t>Suggested competencies for staff will include:</w:t>
      </w:r>
    </w:p>
    <w:p w14:paraId="0585A471" w14:textId="77777777" w:rsidR="0027474D" w:rsidRPr="0027474D" w:rsidRDefault="0027474D" w:rsidP="0027474D">
      <w:pPr>
        <w:rPr>
          <w:rFonts w:ascii="Calibri" w:hAnsi="Calibri" w:cs="Calibri"/>
          <w:szCs w:val="24"/>
        </w:rPr>
      </w:pPr>
    </w:p>
    <w:p w14:paraId="7C20AD96" w14:textId="77777777" w:rsidR="0027474D" w:rsidRPr="0027474D" w:rsidRDefault="0027474D" w:rsidP="0027474D">
      <w:pPr>
        <w:numPr>
          <w:ilvl w:val="0"/>
          <w:numId w:val="33"/>
        </w:numPr>
        <w:contextualSpacing/>
        <w:rPr>
          <w:rFonts w:ascii="Calibri" w:hAnsi="Calibri" w:cs="Calibri"/>
          <w:szCs w:val="24"/>
        </w:rPr>
      </w:pPr>
      <w:r w:rsidRPr="0027474D">
        <w:rPr>
          <w:rFonts w:ascii="Calibri" w:hAnsi="Calibri" w:cs="Calibri"/>
          <w:szCs w:val="24"/>
        </w:rPr>
        <w:t xml:space="preserve">Licensed Nurse(s): </w:t>
      </w:r>
    </w:p>
    <w:p w14:paraId="0CB04E61"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 xml:space="preserve">Assessment Process </w:t>
      </w:r>
    </w:p>
    <w:p w14:paraId="62BB8E84"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Person-Centered Care Plan</w:t>
      </w:r>
    </w:p>
    <w:p w14:paraId="50574F65"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Oversee Implementation</w:t>
      </w:r>
    </w:p>
    <w:p w14:paraId="408DAFAE"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Discharge Planning</w:t>
      </w:r>
    </w:p>
    <w:p w14:paraId="169985D3"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Discharge Teaching</w:t>
      </w:r>
    </w:p>
    <w:p w14:paraId="1AAF9A70"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Demonstration/Evaluation</w:t>
      </w:r>
    </w:p>
    <w:p w14:paraId="5DC489A9"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Documentation</w:t>
      </w:r>
    </w:p>
    <w:p w14:paraId="57E20377"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 xml:space="preserve">Communication </w:t>
      </w:r>
    </w:p>
    <w:p w14:paraId="14ABDBBA" w14:textId="77777777" w:rsidR="0027474D" w:rsidRPr="0027474D" w:rsidRDefault="0027474D" w:rsidP="0027474D">
      <w:pPr>
        <w:ind w:left="1440"/>
        <w:contextualSpacing/>
        <w:rPr>
          <w:rFonts w:ascii="Calibri" w:hAnsi="Calibri" w:cs="Calibri"/>
          <w:szCs w:val="24"/>
        </w:rPr>
      </w:pPr>
    </w:p>
    <w:p w14:paraId="20192CD7" w14:textId="77777777" w:rsidR="0027474D" w:rsidRPr="0027474D" w:rsidRDefault="0027474D" w:rsidP="0027474D">
      <w:pPr>
        <w:numPr>
          <w:ilvl w:val="0"/>
          <w:numId w:val="33"/>
        </w:numPr>
        <w:contextualSpacing/>
        <w:rPr>
          <w:rFonts w:ascii="Calibri" w:hAnsi="Calibri" w:cs="Calibri"/>
          <w:szCs w:val="24"/>
        </w:rPr>
      </w:pPr>
      <w:r w:rsidRPr="0027474D">
        <w:rPr>
          <w:rFonts w:ascii="Calibri" w:hAnsi="Calibri" w:cs="Calibri"/>
          <w:szCs w:val="24"/>
        </w:rPr>
        <w:t>CNA’s:</w:t>
      </w:r>
    </w:p>
    <w:p w14:paraId="00D9E56A"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Implementation of person-centered care plan interventions</w:t>
      </w:r>
    </w:p>
    <w:p w14:paraId="4242B48D"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 xml:space="preserve">Communication </w:t>
      </w:r>
    </w:p>
    <w:p w14:paraId="14156309"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Implementation of care plan interventions</w:t>
      </w:r>
    </w:p>
    <w:p w14:paraId="13851F19"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t>Documentation and reporting of weight/vital signs</w:t>
      </w:r>
    </w:p>
    <w:p w14:paraId="7506B8DA" w14:textId="77777777" w:rsidR="0027474D" w:rsidRPr="0027474D" w:rsidRDefault="0027474D" w:rsidP="0027474D">
      <w:pPr>
        <w:numPr>
          <w:ilvl w:val="1"/>
          <w:numId w:val="33"/>
        </w:numPr>
        <w:contextualSpacing/>
        <w:rPr>
          <w:rFonts w:ascii="Calibri" w:hAnsi="Calibri" w:cs="Calibri"/>
          <w:szCs w:val="24"/>
        </w:rPr>
      </w:pPr>
      <w:r w:rsidRPr="0027474D">
        <w:rPr>
          <w:rFonts w:ascii="Calibri" w:hAnsi="Calibri" w:cs="Calibri"/>
          <w:szCs w:val="24"/>
        </w:rPr>
        <w:lastRenderedPageBreak/>
        <w:t>Identification and reporting of change of condition</w:t>
      </w:r>
    </w:p>
    <w:p w14:paraId="1DEE7AEF" w14:textId="77777777" w:rsidR="0027474D" w:rsidRPr="0027474D" w:rsidRDefault="0027474D" w:rsidP="0027474D">
      <w:pPr>
        <w:ind w:left="1440"/>
        <w:contextualSpacing/>
        <w:rPr>
          <w:rFonts w:ascii="Calibri" w:hAnsi="Calibri" w:cs="Calibri"/>
          <w:szCs w:val="24"/>
        </w:rPr>
      </w:pPr>
    </w:p>
    <w:p w14:paraId="60EEE07D" w14:textId="77777777" w:rsidR="0027474D" w:rsidRPr="0027474D" w:rsidRDefault="0027474D" w:rsidP="0027474D">
      <w:pPr>
        <w:numPr>
          <w:ilvl w:val="0"/>
          <w:numId w:val="33"/>
        </w:numPr>
        <w:contextualSpacing/>
        <w:rPr>
          <w:rFonts w:ascii="Calibri" w:eastAsiaTheme="minorEastAsia" w:hAnsi="Calibri" w:cs="Calibri"/>
          <w:bCs/>
          <w:kern w:val="24"/>
          <w:szCs w:val="24"/>
        </w:rPr>
      </w:pPr>
      <w:r w:rsidRPr="0027474D">
        <w:rPr>
          <w:rFonts w:ascii="Calibri" w:hAnsi="Calibri" w:cs="Calibri"/>
          <w:szCs w:val="24"/>
        </w:rPr>
        <w:t>Interdepartmental Employees</w:t>
      </w:r>
      <w:r w:rsidRPr="0027474D">
        <w:rPr>
          <w:rFonts w:ascii="Calibri" w:eastAsiaTheme="minorEastAsia" w:hAnsi="Calibri" w:cs="Calibri"/>
          <w:bCs/>
          <w:kern w:val="24"/>
          <w:szCs w:val="24"/>
        </w:rPr>
        <w:t xml:space="preserve"> per facility policy</w:t>
      </w:r>
    </w:p>
    <w:p w14:paraId="4727080E" w14:textId="77777777" w:rsidR="0027474D" w:rsidRPr="0027474D" w:rsidRDefault="0027474D" w:rsidP="0027474D">
      <w:pPr>
        <w:numPr>
          <w:ilvl w:val="0"/>
          <w:numId w:val="42"/>
        </w:numPr>
        <w:ind w:left="1530"/>
        <w:contextualSpacing/>
        <w:rPr>
          <w:rFonts w:ascii="Calibri" w:eastAsiaTheme="minorEastAsia" w:hAnsi="Calibri" w:cs="Calibri"/>
          <w:bCs/>
          <w:kern w:val="24"/>
          <w:szCs w:val="24"/>
        </w:rPr>
      </w:pPr>
      <w:r w:rsidRPr="0027474D">
        <w:rPr>
          <w:rFonts w:ascii="Calibri" w:eastAsiaTheme="minorEastAsia" w:hAnsi="Calibri" w:cs="Calibri"/>
          <w:bCs/>
          <w:kern w:val="24"/>
          <w:szCs w:val="24"/>
        </w:rPr>
        <w:t>Documentation</w:t>
      </w:r>
    </w:p>
    <w:p w14:paraId="3F6CE976" w14:textId="77777777" w:rsidR="0027474D" w:rsidRPr="0027474D" w:rsidRDefault="0027474D" w:rsidP="0027474D">
      <w:pPr>
        <w:numPr>
          <w:ilvl w:val="0"/>
          <w:numId w:val="42"/>
        </w:numPr>
        <w:ind w:left="1530"/>
        <w:contextualSpacing/>
        <w:rPr>
          <w:rFonts w:ascii="Calibri" w:eastAsiaTheme="minorEastAsia" w:hAnsi="Calibri" w:cs="Calibri"/>
          <w:bCs/>
          <w:kern w:val="24"/>
          <w:szCs w:val="24"/>
        </w:rPr>
      </w:pPr>
      <w:r w:rsidRPr="0027474D">
        <w:rPr>
          <w:rFonts w:ascii="Calibri" w:eastAsiaTheme="minorEastAsia" w:hAnsi="Calibri" w:cs="Calibri"/>
          <w:bCs/>
          <w:kern w:val="24"/>
          <w:szCs w:val="24"/>
        </w:rPr>
        <w:t>Communication</w:t>
      </w:r>
    </w:p>
    <w:p w14:paraId="50452EAE" w14:textId="4E2AE109" w:rsidR="0027474D" w:rsidRPr="00D55467" w:rsidRDefault="0027474D" w:rsidP="00D55467">
      <w:pPr>
        <w:contextualSpacing/>
        <w:rPr>
          <w:rFonts w:ascii="Calibri" w:eastAsiaTheme="minorEastAsia" w:hAnsi="Calibri" w:cs="Calibri"/>
          <w:bCs/>
          <w:color w:val="FF0000"/>
          <w:kern w:val="24"/>
        </w:rPr>
      </w:pPr>
    </w:p>
    <w:p w14:paraId="091CA8C0" w14:textId="36BC0D2C" w:rsidR="0027474D" w:rsidRDefault="0027474D" w:rsidP="0027474D">
      <w:pPr>
        <w:rPr>
          <w:rFonts w:ascii="Calibri" w:eastAsiaTheme="minorEastAsia" w:hAnsi="Calibri" w:cs="Calibri"/>
          <w:b/>
          <w:bCs/>
          <w:kern w:val="24"/>
          <w:szCs w:val="24"/>
        </w:rPr>
      </w:pPr>
      <w:r w:rsidRPr="0027474D">
        <w:rPr>
          <w:rFonts w:ascii="Calibri" w:eastAsiaTheme="minorEastAsia" w:hAnsi="Calibri" w:cs="Calibri"/>
          <w:b/>
          <w:bCs/>
          <w:kern w:val="24"/>
          <w:szCs w:val="24"/>
        </w:rPr>
        <w:t>F-Tag Reference General Information</w:t>
      </w:r>
    </w:p>
    <w:p w14:paraId="67522C05" w14:textId="77777777" w:rsidR="0027474D" w:rsidRPr="0027474D" w:rsidRDefault="0027474D" w:rsidP="0027474D">
      <w:pPr>
        <w:rPr>
          <w:rFonts w:ascii="Calibri" w:eastAsiaTheme="minorEastAsia" w:hAnsi="Calibri" w:cs="Calibri"/>
          <w:b/>
          <w:bCs/>
          <w:kern w:val="24"/>
          <w:szCs w:val="24"/>
        </w:rPr>
      </w:pPr>
    </w:p>
    <w:p w14:paraId="2B827191" w14:textId="64911EA5" w:rsidR="0027474D" w:rsidRPr="0027474D" w:rsidRDefault="0027474D" w:rsidP="0027474D">
      <w:pPr>
        <w:rPr>
          <w:rFonts w:ascii="Calibri" w:eastAsiaTheme="minorEastAsia" w:hAnsi="Calibri" w:cs="Calibri"/>
          <w:bCs/>
          <w:kern w:val="24"/>
          <w:szCs w:val="24"/>
        </w:rPr>
      </w:pPr>
      <w:r w:rsidRPr="0027474D">
        <w:rPr>
          <w:rFonts w:ascii="Calibri" w:eastAsiaTheme="minorEastAsia" w:hAnsi="Calibri" w:cs="Calibri"/>
          <w:bCs/>
          <w:kern w:val="24"/>
          <w:szCs w:val="24"/>
        </w:rPr>
        <w:t xml:space="preserve">Examples of (Federal) F tags that could be cited during a survey inspection that are related </w:t>
      </w:r>
      <w:r w:rsidR="00B53D30" w:rsidRPr="0027474D">
        <w:rPr>
          <w:rFonts w:ascii="Calibri" w:eastAsiaTheme="minorEastAsia" w:hAnsi="Calibri" w:cs="Calibri"/>
          <w:bCs/>
          <w:kern w:val="24"/>
          <w:szCs w:val="24"/>
        </w:rPr>
        <w:t>to transition</w:t>
      </w:r>
      <w:r w:rsidRPr="0027474D">
        <w:rPr>
          <w:rFonts w:ascii="Calibri" w:eastAsiaTheme="minorEastAsia" w:hAnsi="Calibri" w:cs="Calibri"/>
          <w:bCs/>
          <w:kern w:val="24"/>
          <w:szCs w:val="24"/>
        </w:rPr>
        <w:t xml:space="preserve"> of care and discharge planning</w:t>
      </w:r>
      <w:r w:rsidRPr="0027474D">
        <w:rPr>
          <w:rStyle w:val="FootnoteReference"/>
          <w:rFonts w:ascii="Calibri" w:eastAsiaTheme="minorEastAsia" w:hAnsi="Calibri" w:cs="Calibri"/>
          <w:bCs/>
          <w:kern w:val="24"/>
          <w:szCs w:val="24"/>
        </w:rPr>
        <w:t xml:space="preserve"> </w:t>
      </w:r>
      <w:r w:rsidRPr="0027474D">
        <w:rPr>
          <w:rFonts w:ascii="Calibri" w:eastAsiaTheme="minorEastAsia" w:hAnsi="Calibri" w:cs="Calibri"/>
          <w:bCs/>
          <w:kern w:val="24"/>
          <w:szCs w:val="24"/>
        </w:rPr>
        <w:t>include:</w:t>
      </w:r>
    </w:p>
    <w:p w14:paraId="464B9AC5" w14:textId="77777777" w:rsidR="0027474D" w:rsidRPr="0027474D" w:rsidRDefault="0027474D" w:rsidP="0027474D">
      <w:pPr>
        <w:rPr>
          <w:rFonts w:ascii="Calibri" w:eastAsiaTheme="minorEastAsia" w:hAnsi="Calibri" w:cs="Calibri"/>
          <w:bCs/>
          <w:kern w:val="24"/>
          <w:szCs w:val="24"/>
        </w:rPr>
      </w:pPr>
    </w:p>
    <w:p w14:paraId="5D7D6243" w14:textId="09ABA6DD"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F552:</w:t>
      </w:r>
      <w:r>
        <w:rPr>
          <w:rFonts w:ascii="Calibri" w:eastAsiaTheme="minorEastAsia" w:hAnsi="Calibri" w:cs="Calibri"/>
          <w:kern w:val="24"/>
        </w:rPr>
        <w:tab/>
      </w:r>
      <w:r w:rsidRPr="0027474D">
        <w:rPr>
          <w:rFonts w:ascii="Calibri" w:eastAsiaTheme="minorEastAsia" w:hAnsi="Calibri" w:cs="Calibri"/>
          <w:kern w:val="24"/>
        </w:rPr>
        <w:t>Right to be Informed and Make Treatment Decisions</w:t>
      </w:r>
    </w:p>
    <w:p w14:paraId="2E2F975B" w14:textId="5AF6716C"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F553:</w:t>
      </w:r>
      <w:r>
        <w:rPr>
          <w:rFonts w:ascii="Calibri" w:eastAsiaTheme="minorEastAsia" w:hAnsi="Calibri" w:cs="Calibri"/>
          <w:kern w:val="24"/>
        </w:rPr>
        <w:tab/>
      </w:r>
      <w:r w:rsidRPr="0027474D">
        <w:rPr>
          <w:rFonts w:ascii="Calibri" w:eastAsiaTheme="minorEastAsia" w:hAnsi="Calibri" w:cs="Calibri"/>
          <w:kern w:val="24"/>
        </w:rPr>
        <w:t>Participate in Care Plan</w:t>
      </w:r>
    </w:p>
    <w:p w14:paraId="72CE50ED" w14:textId="5AEEC084"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F561:</w:t>
      </w:r>
      <w:r>
        <w:rPr>
          <w:rFonts w:ascii="Calibri" w:eastAsiaTheme="minorEastAsia" w:hAnsi="Calibri" w:cs="Calibri"/>
          <w:kern w:val="24"/>
        </w:rPr>
        <w:tab/>
      </w:r>
      <w:r w:rsidRPr="0027474D">
        <w:rPr>
          <w:rFonts w:ascii="Calibri" w:eastAsiaTheme="minorEastAsia" w:hAnsi="Calibri" w:cs="Calibri"/>
          <w:kern w:val="24"/>
        </w:rPr>
        <w:t>Advance Directives</w:t>
      </w:r>
    </w:p>
    <w:p w14:paraId="70039040" w14:textId="47506F63"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F578:</w:t>
      </w:r>
      <w:r>
        <w:rPr>
          <w:rFonts w:ascii="Calibri" w:eastAsiaTheme="minorEastAsia" w:hAnsi="Calibri" w:cs="Calibri"/>
          <w:kern w:val="24"/>
        </w:rPr>
        <w:tab/>
      </w:r>
      <w:r w:rsidRPr="0027474D">
        <w:rPr>
          <w:rFonts w:ascii="Calibri" w:eastAsiaTheme="minorEastAsia" w:hAnsi="Calibri" w:cs="Calibri"/>
          <w:kern w:val="24"/>
        </w:rPr>
        <w:t>Right to Refuse</w:t>
      </w:r>
    </w:p>
    <w:p w14:paraId="53C1E6B4" w14:textId="4E4BE569"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F580:</w:t>
      </w:r>
      <w:r>
        <w:rPr>
          <w:rFonts w:ascii="Calibri" w:eastAsiaTheme="minorEastAsia" w:hAnsi="Calibri" w:cs="Calibri"/>
          <w:kern w:val="24"/>
        </w:rPr>
        <w:tab/>
      </w:r>
      <w:r w:rsidRPr="0027474D">
        <w:rPr>
          <w:rFonts w:ascii="Calibri" w:eastAsiaTheme="minorEastAsia" w:hAnsi="Calibri" w:cs="Calibri"/>
          <w:kern w:val="24"/>
        </w:rPr>
        <w:t>Notification of Change</w:t>
      </w:r>
    </w:p>
    <w:p w14:paraId="50BC602E" w14:textId="4670ECA6" w:rsid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F624:</w:t>
      </w:r>
      <w:r>
        <w:rPr>
          <w:rFonts w:ascii="Calibri" w:eastAsiaTheme="minorEastAsia" w:hAnsi="Calibri" w:cs="Calibri"/>
          <w:kern w:val="24"/>
        </w:rPr>
        <w:tab/>
      </w:r>
      <w:r w:rsidRPr="0027474D">
        <w:rPr>
          <w:rFonts w:ascii="Calibri" w:eastAsiaTheme="minorEastAsia" w:hAnsi="Calibri" w:cs="Calibri"/>
          <w:kern w:val="24"/>
        </w:rPr>
        <w:t>Orientation for Transfer or Discharge</w:t>
      </w:r>
    </w:p>
    <w:p w14:paraId="7533698E" w14:textId="7C3BCA95" w:rsidR="00D55467" w:rsidRPr="0027474D" w:rsidRDefault="00D55467"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F644:</w:t>
      </w:r>
      <w:r>
        <w:rPr>
          <w:rFonts w:ascii="Calibri" w:eastAsiaTheme="minorEastAsia" w:hAnsi="Calibri" w:cs="Calibri"/>
          <w:kern w:val="24"/>
        </w:rPr>
        <w:tab/>
        <w:t xml:space="preserve">PASARR Coordination </w:t>
      </w:r>
    </w:p>
    <w:p w14:paraId="65C2A7EA" w14:textId="571D757D"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F658:</w:t>
      </w:r>
      <w:r>
        <w:rPr>
          <w:rFonts w:ascii="Calibri" w:eastAsiaTheme="minorEastAsia" w:hAnsi="Calibri" w:cs="Calibri"/>
          <w:kern w:val="24"/>
        </w:rPr>
        <w:tab/>
      </w:r>
      <w:r w:rsidRPr="0027474D">
        <w:rPr>
          <w:rFonts w:ascii="Calibri" w:eastAsiaTheme="minorEastAsia" w:hAnsi="Calibri" w:cs="Calibri"/>
          <w:kern w:val="24"/>
        </w:rPr>
        <w:t>Professional Standards</w:t>
      </w:r>
    </w:p>
    <w:p w14:paraId="77B0A8BA" w14:textId="67ADDDF5"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F659:</w:t>
      </w:r>
      <w:r>
        <w:rPr>
          <w:rFonts w:ascii="Calibri" w:eastAsiaTheme="minorEastAsia" w:hAnsi="Calibri" w:cs="Calibri"/>
          <w:kern w:val="24"/>
        </w:rPr>
        <w:tab/>
      </w:r>
      <w:r w:rsidRPr="0027474D">
        <w:rPr>
          <w:rFonts w:ascii="Calibri" w:eastAsiaTheme="minorEastAsia" w:hAnsi="Calibri" w:cs="Calibri"/>
          <w:kern w:val="24"/>
        </w:rPr>
        <w:t>Care Provided by Qualified Persons</w:t>
      </w:r>
    </w:p>
    <w:p w14:paraId="4F45D6EA" w14:textId="5D1FFDC5"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F660:</w:t>
      </w:r>
      <w:r>
        <w:rPr>
          <w:rFonts w:ascii="Calibri" w:eastAsiaTheme="minorEastAsia" w:hAnsi="Calibri" w:cs="Calibri"/>
          <w:kern w:val="24"/>
        </w:rPr>
        <w:tab/>
      </w:r>
      <w:r w:rsidRPr="0027474D">
        <w:rPr>
          <w:rFonts w:ascii="Calibri" w:eastAsiaTheme="minorEastAsia" w:hAnsi="Calibri" w:cs="Calibri"/>
          <w:kern w:val="24"/>
        </w:rPr>
        <w:t>Discharge Planning</w:t>
      </w:r>
    </w:p>
    <w:p w14:paraId="4552A5DA" w14:textId="28989762"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F725:</w:t>
      </w:r>
      <w:r>
        <w:rPr>
          <w:rFonts w:ascii="Calibri" w:eastAsiaTheme="minorEastAsia" w:hAnsi="Calibri" w:cs="Calibri"/>
          <w:kern w:val="24"/>
        </w:rPr>
        <w:tab/>
      </w:r>
      <w:proofErr w:type="gramStart"/>
      <w:r w:rsidRPr="0027474D">
        <w:rPr>
          <w:rFonts w:ascii="Calibri" w:eastAsiaTheme="minorEastAsia" w:hAnsi="Calibri" w:cs="Calibri"/>
          <w:kern w:val="24"/>
        </w:rPr>
        <w:t>Sufficient</w:t>
      </w:r>
      <w:proofErr w:type="gramEnd"/>
      <w:r w:rsidRPr="0027474D">
        <w:rPr>
          <w:rFonts w:ascii="Calibri" w:eastAsiaTheme="minorEastAsia" w:hAnsi="Calibri" w:cs="Calibri"/>
          <w:kern w:val="24"/>
        </w:rPr>
        <w:t xml:space="preserve"> Nursing Staff</w:t>
      </w:r>
    </w:p>
    <w:p w14:paraId="0EB163AE" w14:textId="3041C776"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F745:</w:t>
      </w:r>
      <w:r>
        <w:rPr>
          <w:rFonts w:ascii="Calibri" w:eastAsiaTheme="minorEastAsia" w:hAnsi="Calibri" w:cs="Calibri"/>
          <w:kern w:val="24"/>
        </w:rPr>
        <w:tab/>
      </w:r>
      <w:r w:rsidRPr="0027474D">
        <w:rPr>
          <w:rFonts w:ascii="Calibri" w:eastAsiaTheme="minorEastAsia" w:hAnsi="Calibri" w:cs="Calibri"/>
          <w:kern w:val="24"/>
        </w:rPr>
        <w:t>Medically Related Social Services</w:t>
      </w:r>
    </w:p>
    <w:p w14:paraId="4649C8A0" w14:textId="08C124BC"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F756:</w:t>
      </w:r>
      <w:r>
        <w:rPr>
          <w:rFonts w:ascii="Calibri" w:eastAsiaTheme="minorEastAsia" w:hAnsi="Calibri" w:cs="Calibri"/>
          <w:kern w:val="24"/>
        </w:rPr>
        <w:tab/>
      </w:r>
      <w:r w:rsidRPr="0027474D">
        <w:rPr>
          <w:rFonts w:ascii="Calibri" w:eastAsiaTheme="minorEastAsia" w:hAnsi="Calibri" w:cs="Calibri"/>
          <w:kern w:val="24"/>
        </w:rPr>
        <w:t>Drug Regimen Review</w:t>
      </w:r>
    </w:p>
    <w:p w14:paraId="17A287BB" w14:textId="5B61521C"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F841:</w:t>
      </w:r>
      <w:r>
        <w:rPr>
          <w:rFonts w:ascii="Calibri" w:eastAsiaTheme="minorEastAsia" w:hAnsi="Calibri" w:cs="Calibri"/>
          <w:kern w:val="24"/>
        </w:rPr>
        <w:tab/>
      </w:r>
      <w:r w:rsidRPr="0027474D">
        <w:rPr>
          <w:rFonts w:ascii="Calibri" w:eastAsiaTheme="minorEastAsia" w:hAnsi="Calibri" w:cs="Calibri"/>
          <w:kern w:val="24"/>
        </w:rPr>
        <w:t>Medical Director</w:t>
      </w:r>
    </w:p>
    <w:p w14:paraId="513DD019" w14:textId="35E92110"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F842:</w:t>
      </w:r>
      <w:r>
        <w:rPr>
          <w:rFonts w:ascii="Calibri" w:eastAsiaTheme="minorEastAsia" w:hAnsi="Calibri" w:cs="Calibri"/>
          <w:kern w:val="24"/>
        </w:rPr>
        <w:tab/>
      </w:r>
      <w:r w:rsidRPr="0027474D">
        <w:rPr>
          <w:rFonts w:ascii="Calibri" w:eastAsiaTheme="minorEastAsia" w:hAnsi="Calibri" w:cs="Calibri"/>
          <w:kern w:val="24"/>
        </w:rPr>
        <w:t>Resident Records</w:t>
      </w:r>
    </w:p>
    <w:p w14:paraId="4B652DA4" w14:textId="44757EC9" w:rsidR="0027474D" w:rsidRPr="0027474D" w:rsidRDefault="0027474D" w:rsidP="0027474D">
      <w:pPr>
        <w:pStyle w:val="ListParagraph"/>
        <w:numPr>
          <w:ilvl w:val="0"/>
          <w:numId w:val="44"/>
        </w:numPr>
        <w:contextualSpacing/>
        <w:rPr>
          <w:rFonts w:ascii="Calibri" w:eastAsiaTheme="minorEastAsia" w:hAnsi="Calibri" w:cs="Calibri"/>
          <w:kern w:val="24"/>
        </w:rPr>
      </w:pPr>
      <w:r>
        <w:rPr>
          <w:rFonts w:ascii="Calibri" w:eastAsiaTheme="minorEastAsia" w:hAnsi="Calibri" w:cs="Calibri"/>
          <w:kern w:val="24"/>
        </w:rPr>
        <w:t>F865:</w:t>
      </w:r>
      <w:r>
        <w:rPr>
          <w:rFonts w:ascii="Calibri" w:eastAsiaTheme="minorEastAsia" w:hAnsi="Calibri" w:cs="Calibri"/>
          <w:kern w:val="24"/>
        </w:rPr>
        <w:tab/>
      </w:r>
      <w:r w:rsidRPr="0027474D">
        <w:rPr>
          <w:rFonts w:ascii="Calibri" w:eastAsiaTheme="minorEastAsia" w:hAnsi="Calibri" w:cs="Calibri"/>
          <w:kern w:val="24"/>
        </w:rPr>
        <w:t>QAA/QAPI</w:t>
      </w:r>
    </w:p>
    <w:p w14:paraId="72176DE4" w14:textId="77777777" w:rsidR="00D55467" w:rsidRDefault="00D55467" w:rsidP="0027474D">
      <w:pPr>
        <w:rPr>
          <w:rFonts w:ascii="Calibri" w:hAnsi="Calibri" w:cs="Calibri"/>
          <w:b/>
          <w:szCs w:val="24"/>
        </w:rPr>
      </w:pPr>
    </w:p>
    <w:p w14:paraId="7EDFF947" w14:textId="07DFC5D5" w:rsidR="0027474D" w:rsidRPr="0027474D" w:rsidRDefault="0027474D" w:rsidP="0027474D">
      <w:pPr>
        <w:rPr>
          <w:rFonts w:ascii="Calibri" w:hAnsi="Calibri" w:cs="Calibri"/>
          <w:b/>
          <w:szCs w:val="24"/>
        </w:rPr>
      </w:pPr>
    </w:p>
    <w:p w14:paraId="716B24FB" w14:textId="566FB041" w:rsidR="0027474D" w:rsidRDefault="0027474D" w:rsidP="0027474D">
      <w:pPr>
        <w:rPr>
          <w:rFonts w:ascii="Calibri" w:hAnsi="Calibri" w:cs="Calibri"/>
          <w:b/>
          <w:szCs w:val="24"/>
        </w:rPr>
      </w:pPr>
      <w:r w:rsidRPr="0027474D">
        <w:rPr>
          <w:rFonts w:ascii="Calibri" w:hAnsi="Calibri" w:cs="Calibri"/>
          <w:b/>
          <w:szCs w:val="24"/>
        </w:rPr>
        <w:t>Link to Critical Element Pathway</w:t>
      </w:r>
    </w:p>
    <w:p w14:paraId="15C991CC" w14:textId="77777777" w:rsidR="0027474D" w:rsidRPr="0027474D" w:rsidRDefault="0027474D" w:rsidP="0027474D">
      <w:pPr>
        <w:rPr>
          <w:rFonts w:ascii="Calibri" w:hAnsi="Calibri" w:cs="Calibri"/>
          <w:b/>
          <w:szCs w:val="24"/>
        </w:rPr>
      </w:pPr>
    </w:p>
    <w:p w14:paraId="3676ABB1" w14:textId="77777777" w:rsidR="0027474D" w:rsidRPr="0027474D" w:rsidRDefault="0027474D" w:rsidP="0027474D">
      <w:pPr>
        <w:rPr>
          <w:rFonts w:ascii="Calibri" w:hAnsi="Calibri" w:cs="Calibri"/>
        </w:rPr>
      </w:pPr>
      <w:r w:rsidRPr="0027474D">
        <w:rPr>
          <w:rFonts w:ascii="Calibri" w:hAnsi="Calibri" w:cs="Calibri"/>
        </w:rPr>
        <w:t>Use the Discharge Critical Element (CE) Pathway</w:t>
      </w:r>
      <w:r w:rsidRPr="0027474D">
        <w:rPr>
          <w:rStyle w:val="FootnoteReference"/>
          <w:rFonts w:ascii="Calibri" w:hAnsi="Calibri" w:cs="Calibri"/>
        </w:rPr>
        <w:footnoteReference w:id="5"/>
      </w:r>
      <w:r w:rsidRPr="0027474D">
        <w:rPr>
          <w:rFonts w:ascii="Calibri" w:hAnsi="Calibri" w:cs="Calibri"/>
        </w:rPr>
        <w:t xml:space="preserve">, along with the interpretive guidelines when determining if the facility meets the requirements for providing care and services for a resident receiving hospice services, in accordance with professional standards of practice, and the comprehensive person-centered hospice/facility care plan. </w:t>
      </w:r>
    </w:p>
    <w:p w14:paraId="01A57E8B" w14:textId="77777777" w:rsidR="0027474D" w:rsidRPr="0027474D" w:rsidRDefault="0027474D" w:rsidP="0027474D">
      <w:pPr>
        <w:rPr>
          <w:rFonts w:ascii="Calibri" w:hAnsi="Calibri" w:cs="Calibri"/>
        </w:rPr>
      </w:pPr>
    </w:p>
    <w:p w14:paraId="44F45AC9" w14:textId="2EB5358D" w:rsidR="0027474D" w:rsidRDefault="0027474D" w:rsidP="0027474D">
      <w:pPr>
        <w:rPr>
          <w:rFonts w:ascii="Calibri" w:hAnsi="Calibri" w:cs="Calibri"/>
        </w:rPr>
      </w:pPr>
    </w:p>
    <w:p w14:paraId="78D42C66" w14:textId="77777777" w:rsidR="00D55467" w:rsidRPr="0027474D" w:rsidRDefault="00D55467" w:rsidP="0027474D">
      <w:pPr>
        <w:rPr>
          <w:rFonts w:ascii="Calibri" w:hAnsi="Calibri" w:cs="Calibri"/>
        </w:rPr>
      </w:pPr>
    </w:p>
    <w:p w14:paraId="6D4BA503" w14:textId="7F919FDC" w:rsidR="0027474D" w:rsidRDefault="0027474D" w:rsidP="0027474D">
      <w:pPr>
        <w:rPr>
          <w:rFonts w:ascii="Calibri" w:hAnsi="Calibri" w:cs="Calibri"/>
          <w:b/>
        </w:rPr>
      </w:pPr>
      <w:r w:rsidRPr="0027474D">
        <w:rPr>
          <w:rFonts w:ascii="Calibri" w:hAnsi="Calibri" w:cs="Calibri"/>
          <w:b/>
        </w:rPr>
        <w:lastRenderedPageBreak/>
        <w:t>Resources and References</w:t>
      </w:r>
    </w:p>
    <w:p w14:paraId="10AEBCED" w14:textId="77777777" w:rsidR="0027474D" w:rsidRPr="0027474D" w:rsidRDefault="0027474D" w:rsidP="0027474D">
      <w:pPr>
        <w:rPr>
          <w:rFonts w:ascii="Calibri" w:hAnsi="Calibri" w:cs="Calibri"/>
          <w:b/>
        </w:rPr>
      </w:pPr>
    </w:p>
    <w:p w14:paraId="0A066126" w14:textId="77777777" w:rsidR="0027474D" w:rsidRPr="0027474D" w:rsidRDefault="0027474D" w:rsidP="0027474D">
      <w:pPr>
        <w:shd w:val="clear" w:color="auto" w:fill="FFFFFF" w:themeFill="background1"/>
        <w:rPr>
          <w:rStyle w:val="Hyperlink"/>
          <w:rFonts w:ascii="Calibri" w:hAnsi="Calibri" w:cs="Calibri"/>
          <w:szCs w:val="24"/>
        </w:rPr>
      </w:pPr>
      <w:r w:rsidRPr="0027474D">
        <w:rPr>
          <w:rFonts w:ascii="Calibri" w:hAnsi="Calibri" w:cs="Calibri"/>
          <w:szCs w:val="24"/>
        </w:rPr>
        <w:t xml:space="preserve">Centers for Medicare &amp; Medicaid Services.   State Operations Manual, Appendix PP – Guidance to Surveyors for Long Term Care Facilities (Rev. 173, 11-22-17):  </w:t>
      </w:r>
      <w:hyperlink r:id="rId8" w:history="1">
        <w:r w:rsidRPr="0027474D">
          <w:rPr>
            <w:rStyle w:val="Hyperlink"/>
            <w:rFonts w:ascii="Calibri" w:hAnsi="Calibri" w:cs="Calibri"/>
            <w:szCs w:val="24"/>
          </w:rPr>
          <w:t>https://www.cms.gov/Regulations-and-Guidance/Guidance/Manuals/downloads/som107ap_pp_guidelines_ltcf.pdf</w:t>
        </w:r>
      </w:hyperlink>
    </w:p>
    <w:p w14:paraId="02A8E640" w14:textId="77777777" w:rsidR="0027474D" w:rsidRDefault="0027474D" w:rsidP="0027474D">
      <w:pPr>
        <w:shd w:val="clear" w:color="auto" w:fill="FFFFFF" w:themeFill="background1"/>
        <w:rPr>
          <w:rFonts w:ascii="Calibri" w:hAnsi="Calibri" w:cs="Calibri"/>
          <w:szCs w:val="24"/>
        </w:rPr>
      </w:pPr>
    </w:p>
    <w:p w14:paraId="31C9A86D" w14:textId="1A928945" w:rsidR="0027474D" w:rsidRPr="0027474D" w:rsidRDefault="0027474D" w:rsidP="0027474D">
      <w:pPr>
        <w:shd w:val="clear" w:color="auto" w:fill="FFFFFF" w:themeFill="background1"/>
        <w:rPr>
          <w:rFonts w:ascii="Calibri" w:hAnsi="Calibri" w:cs="Calibri"/>
          <w:szCs w:val="24"/>
        </w:rPr>
      </w:pPr>
      <w:r w:rsidRPr="0027474D">
        <w:rPr>
          <w:rFonts w:ascii="Calibri" w:hAnsi="Calibri" w:cs="Calibri"/>
          <w:szCs w:val="24"/>
        </w:rPr>
        <w:t xml:space="preserve">Centers for Medicare &amp; Medicaid Services.   Long Term Care Critical Element Pathways:  </w:t>
      </w:r>
      <w:hyperlink r:id="rId9" w:history="1">
        <w:r w:rsidRPr="0027474D">
          <w:rPr>
            <w:rStyle w:val="Hyperlink"/>
            <w:rFonts w:ascii="Calibri" w:hAnsi="Calibri" w:cs="Calibri"/>
            <w:szCs w:val="24"/>
          </w:rPr>
          <w:t>https://www.cms.gov/Medicare/Provider-Enrollment-and-Certification/GuidanceforLawsAndRegulations/Nursing-Homes.html</w:t>
        </w:r>
      </w:hyperlink>
      <w:r w:rsidRPr="0027474D">
        <w:rPr>
          <w:rFonts w:ascii="Calibri" w:hAnsi="Calibri" w:cs="Calibri"/>
          <w:szCs w:val="24"/>
        </w:rPr>
        <w:t xml:space="preserve"> </w:t>
      </w:r>
    </w:p>
    <w:p w14:paraId="22A574E3" w14:textId="77777777" w:rsidR="0027474D" w:rsidRDefault="0027474D" w:rsidP="0027474D">
      <w:pPr>
        <w:pStyle w:val="FootnoteText"/>
        <w:rPr>
          <w:rFonts w:ascii="Calibri" w:hAnsi="Calibri" w:cs="Calibri"/>
          <w:sz w:val="24"/>
          <w:szCs w:val="24"/>
        </w:rPr>
      </w:pPr>
    </w:p>
    <w:p w14:paraId="204F2B3A" w14:textId="2495D1FC" w:rsidR="0027474D" w:rsidRPr="0027474D" w:rsidRDefault="0027474D" w:rsidP="0027474D">
      <w:pPr>
        <w:pStyle w:val="FootnoteText"/>
        <w:rPr>
          <w:rFonts w:ascii="Calibri" w:hAnsi="Calibri" w:cs="Calibri"/>
          <w:sz w:val="24"/>
          <w:szCs w:val="24"/>
        </w:rPr>
      </w:pPr>
      <w:r w:rsidRPr="0027474D">
        <w:rPr>
          <w:rFonts w:ascii="Calibri" w:hAnsi="Calibri" w:cs="Calibri"/>
          <w:sz w:val="24"/>
          <w:szCs w:val="24"/>
        </w:rPr>
        <w:t xml:space="preserve">Centers for Medicare and Medicaid Services, EHR Incentive Program.  Transition of Care:  </w:t>
      </w:r>
      <w:hyperlink r:id="rId10" w:history="1">
        <w:r w:rsidRPr="0027474D">
          <w:rPr>
            <w:rStyle w:val="Hyperlink"/>
            <w:rFonts w:ascii="Calibri" w:hAnsi="Calibri" w:cs="Calibri"/>
            <w:sz w:val="24"/>
            <w:szCs w:val="24"/>
          </w:rPr>
          <w:t>https://www.cms.gov/Regulations-and-Guidance/Legislation/EHRIncentivePrograms/downloads/8_Transition_of_Care_Summary.pdf</w:t>
        </w:r>
      </w:hyperlink>
      <w:r w:rsidRPr="0027474D">
        <w:rPr>
          <w:rFonts w:ascii="Calibri" w:hAnsi="Calibri" w:cs="Calibri"/>
          <w:sz w:val="24"/>
          <w:szCs w:val="24"/>
        </w:rPr>
        <w:t xml:space="preserve"> </w:t>
      </w:r>
    </w:p>
    <w:p w14:paraId="183A0A71" w14:textId="77777777" w:rsidR="0027474D" w:rsidRPr="0027474D" w:rsidRDefault="0027474D" w:rsidP="0027474D">
      <w:pPr>
        <w:pStyle w:val="FootnoteText"/>
        <w:rPr>
          <w:rFonts w:ascii="Calibri" w:hAnsi="Calibri" w:cs="Calibri"/>
          <w:sz w:val="24"/>
          <w:szCs w:val="24"/>
        </w:rPr>
      </w:pPr>
    </w:p>
    <w:p w14:paraId="27D1FCF4" w14:textId="05AF57A3" w:rsidR="00DE7AF9" w:rsidRPr="0027474D" w:rsidRDefault="0027474D" w:rsidP="0027474D">
      <w:pPr>
        <w:pStyle w:val="NoSpacing"/>
        <w:rPr>
          <w:rFonts w:ascii="Calibri" w:hAnsi="Calibri" w:cs="Calibri"/>
          <w:b/>
          <w:sz w:val="22"/>
          <w:szCs w:val="22"/>
        </w:rPr>
      </w:pPr>
      <w:r w:rsidRPr="0027474D">
        <w:rPr>
          <w:rFonts w:ascii="Calibri" w:hAnsi="Calibri" w:cs="Calibri"/>
        </w:rPr>
        <w:t xml:space="preserve">Medicaid.gov.  Improving Care Transitions:  </w:t>
      </w:r>
      <w:hyperlink r:id="rId11" w:history="1">
        <w:r w:rsidRPr="0027474D">
          <w:rPr>
            <w:rStyle w:val="Hyperlink"/>
            <w:rFonts w:ascii="Calibri" w:hAnsi="Calibri" w:cs="Calibri"/>
          </w:rPr>
          <w:t>https://www.medicaid.gov/medicaid/quality-of-care/improvement-initiatives/care-transit</w:t>
        </w:r>
        <w:bookmarkStart w:id="0" w:name="_GoBack"/>
        <w:bookmarkEnd w:id="0"/>
        <w:r w:rsidRPr="0027474D">
          <w:rPr>
            <w:rStyle w:val="Hyperlink"/>
            <w:rFonts w:ascii="Calibri" w:hAnsi="Calibri" w:cs="Calibri"/>
          </w:rPr>
          <w:t>ions/index.html</w:t>
        </w:r>
      </w:hyperlink>
    </w:p>
    <w:sectPr w:rsidR="00DE7AF9" w:rsidRPr="0027474D" w:rsidSect="00DE7AF9">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06D8D" w14:textId="77777777" w:rsidR="00EB59EB" w:rsidRDefault="00EB59EB" w:rsidP="00FE158D">
      <w:r>
        <w:separator/>
      </w:r>
    </w:p>
  </w:endnote>
  <w:endnote w:type="continuationSeparator" w:id="0">
    <w:p w14:paraId="7C53C16E" w14:textId="77777777" w:rsidR="00EB59EB" w:rsidRDefault="00EB59E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4844" w14:textId="77777777" w:rsidR="00EB59EB" w:rsidRDefault="00EB59EB" w:rsidP="00FE158D">
      <w:r>
        <w:separator/>
      </w:r>
    </w:p>
  </w:footnote>
  <w:footnote w:type="continuationSeparator" w:id="0">
    <w:p w14:paraId="2A31E91D" w14:textId="77777777" w:rsidR="00EB59EB" w:rsidRDefault="00EB59EB" w:rsidP="00FE158D">
      <w:r>
        <w:continuationSeparator/>
      </w:r>
    </w:p>
  </w:footnote>
  <w:footnote w:id="1">
    <w:p w14:paraId="32C1BFBD" w14:textId="77777777" w:rsidR="0027474D" w:rsidRPr="006A7065" w:rsidRDefault="0027474D" w:rsidP="0027474D">
      <w:pPr>
        <w:pStyle w:val="FootnoteText"/>
        <w:rPr>
          <w:rFonts w:asciiTheme="minorHAnsi" w:hAnsiTheme="minorHAnsi" w:cstheme="minorHAnsi"/>
        </w:rPr>
      </w:pPr>
      <w:r w:rsidRPr="006A7065">
        <w:rPr>
          <w:rStyle w:val="FootnoteReference"/>
          <w:rFonts w:asciiTheme="minorHAnsi" w:hAnsiTheme="minorHAnsi" w:cstheme="minorHAnsi"/>
        </w:rPr>
        <w:footnoteRef/>
      </w:r>
      <w:r w:rsidRPr="006A7065">
        <w:rPr>
          <w:rFonts w:asciiTheme="minorHAnsi" w:hAnsiTheme="minorHAnsi" w:cstheme="minorHAnsi"/>
        </w:rPr>
        <w:t xml:space="preserve"> Centers for Medicare and Medicaid Services, EHR Incentive Program.  Transition of Care:  </w:t>
      </w:r>
      <w:hyperlink r:id="rId1" w:history="1">
        <w:r w:rsidRPr="006A7065">
          <w:rPr>
            <w:rStyle w:val="Hyperlink"/>
            <w:rFonts w:asciiTheme="minorHAnsi" w:hAnsiTheme="minorHAnsi" w:cstheme="minorHAnsi"/>
          </w:rPr>
          <w:t>https://www.cms.gov/Regulations-and-Guidance/Legislation/EHRIncentivePrograms/downloads/8_Transition_of_Care_Summary.pdf</w:t>
        </w:r>
      </w:hyperlink>
      <w:r w:rsidRPr="006A7065">
        <w:rPr>
          <w:rFonts w:asciiTheme="minorHAnsi" w:hAnsiTheme="minorHAnsi" w:cstheme="minorHAnsi"/>
        </w:rPr>
        <w:t xml:space="preserve"> </w:t>
      </w:r>
    </w:p>
  </w:footnote>
  <w:footnote w:id="2">
    <w:p w14:paraId="4DE57FFD" w14:textId="77777777" w:rsidR="0027474D" w:rsidRDefault="0027474D" w:rsidP="0027474D">
      <w:pPr>
        <w:pStyle w:val="FootnoteText"/>
      </w:pPr>
      <w:r w:rsidRPr="006A7065">
        <w:rPr>
          <w:rStyle w:val="FootnoteReference"/>
          <w:rFonts w:asciiTheme="minorHAnsi" w:hAnsiTheme="minorHAnsi" w:cstheme="minorHAnsi"/>
        </w:rPr>
        <w:footnoteRef/>
      </w:r>
      <w:r w:rsidRPr="006A7065">
        <w:rPr>
          <w:rFonts w:asciiTheme="minorHAnsi" w:hAnsiTheme="minorHAnsi" w:cstheme="minorHAnsi"/>
        </w:rPr>
        <w:t xml:space="preserve"> Medicaid.gov.  Improving Care Transitions:  </w:t>
      </w:r>
      <w:hyperlink r:id="rId2" w:history="1">
        <w:r w:rsidRPr="006A7065">
          <w:rPr>
            <w:rStyle w:val="Hyperlink"/>
            <w:rFonts w:asciiTheme="minorHAnsi" w:hAnsiTheme="minorHAnsi" w:cstheme="minorHAnsi"/>
          </w:rPr>
          <w:t>https://www.medicaid.gov/medicaid/quality-of-care/improvement-initiatives/care-transitions/index.html</w:t>
        </w:r>
      </w:hyperlink>
      <w:r>
        <w:t xml:space="preserve"> </w:t>
      </w:r>
    </w:p>
  </w:footnote>
  <w:footnote w:id="3">
    <w:p w14:paraId="786BEDF0" w14:textId="77777777" w:rsidR="0027474D" w:rsidRDefault="0027474D" w:rsidP="0027474D">
      <w:pPr>
        <w:shd w:val="clear" w:color="auto" w:fill="FFFFFF" w:themeFill="background1"/>
        <w:rPr>
          <w:rStyle w:val="Hyperlink"/>
        </w:rPr>
      </w:pPr>
      <w:r>
        <w:rPr>
          <w:rStyle w:val="FootnoteReference"/>
        </w:rPr>
        <w:footnoteRef/>
      </w:r>
      <w:r>
        <w:t>,</w:t>
      </w:r>
      <w:r>
        <w:rPr>
          <w:rStyle w:val="FootnoteReference"/>
        </w:rPr>
        <w:t>4</w:t>
      </w:r>
      <w:r>
        <w:t xml:space="preserve"> Centers for Medicare &amp; Medicaid Services State Operations Manual, Appendix PP – Guidance to Surveyors for Long Term Care Facilities (Rev. 173, 11-22-17):  </w:t>
      </w:r>
      <w:hyperlink r:id="rId3" w:history="1">
        <w:r w:rsidRPr="007B43B7">
          <w:rPr>
            <w:rStyle w:val="Hyperlink"/>
          </w:rPr>
          <w:t>https://www.cms.gov/Regulations-and-Guidance/Guidance/Manuals/downloads/som107ap_pp_guidelines_ltcf.pdf</w:t>
        </w:r>
      </w:hyperlink>
    </w:p>
    <w:p w14:paraId="5F941901" w14:textId="77777777" w:rsidR="0027474D" w:rsidRDefault="0027474D" w:rsidP="0027474D">
      <w:pPr>
        <w:pStyle w:val="FootnoteText"/>
      </w:pPr>
    </w:p>
  </w:footnote>
  <w:footnote w:id="4">
    <w:p w14:paraId="4F902F47" w14:textId="77777777" w:rsidR="0027474D" w:rsidRDefault="0027474D" w:rsidP="0027474D">
      <w:pPr>
        <w:pStyle w:val="FootnoteText"/>
      </w:pPr>
    </w:p>
  </w:footnote>
  <w:footnote w:id="5">
    <w:p w14:paraId="6972908E" w14:textId="77777777" w:rsidR="0027474D" w:rsidRDefault="0027474D" w:rsidP="002747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A2787"/>
    <w:multiLevelType w:val="hybridMultilevel"/>
    <w:tmpl w:val="A4C0FF6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6A5B70"/>
    <w:multiLevelType w:val="hybridMultilevel"/>
    <w:tmpl w:val="54C6BDAA"/>
    <w:lvl w:ilvl="0" w:tplc="A47A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B326162"/>
    <w:multiLevelType w:val="hybridMultilevel"/>
    <w:tmpl w:val="007C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1606E"/>
    <w:multiLevelType w:val="hybridMultilevel"/>
    <w:tmpl w:val="695207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2B345C"/>
    <w:multiLevelType w:val="hybridMultilevel"/>
    <w:tmpl w:val="F956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E9583C"/>
    <w:multiLevelType w:val="hybridMultilevel"/>
    <w:tmpl w:val="87D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10A3C"/>
    <w:multiLevelType w:val="multilevel"/>
    <w:tmpl w:val="93AA76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3832986"/>
    <w:multiLevelType w:val="hybridMultilevel"/>
    <w:tmpl w:val="6CD6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8"/>
  </w:num>
  <w:num w:numId="24">
    <w:abstractNumId w:val="13"/>
  </w:num>
  <w:num w:numId="25">
    <w:abstractNumId w:val="24"/>
  </w:num>
  <w:num w:numId="26">
    <w:abstractNumId w:val="19"/>
  </w:num>
  <w:num w:numId="27">
    <w:abstractNumId w:val="26"/>
  </w:num>
  <w:num w:numId="28">
    <w:abstractNumId w:val="10"/>
  </w:num>
  <w:num w:numId="29">
    <w:abstractNumId w:val="30"/>
  </w:num>
  <w:num w:numId="30">
    <w:abstractNumId w:val="28"/>
  </w:num>
  <w:num w:numId="31">
    <w:abstractNumId w:val="41"/>
  </w:num>
  <w:num w:numId="32">
    <w:abstractNumId w:val="31"/>
  </w:num>
  <w:num w:numId="33">
    <w:abstractNumId w:val="1"/>
  </w:num>
  <w:num w:numId="34">
    <w:abstractNumId w:val="35"/>
  </w:num>
  <w:num w:numId="35">
    <w:abstractNumId w:val="9"/>
  </w:num>
  <w:num w:numId="36">
    <w:abstractNumId w:val="40"/>
  </w:num>
  <w:num w:numId="37">
    <w:abstractNumId w:val="15"/>
  </w:num>
  <w:num w:numId="38">
    <w:abstractNumId w:val="21"/>
  </w:num>
  <w:num w:numId="39">
    <w:abstractNumId w:val="43"/>
  </w:num>
  <w:num w:numId="40">
    <w:abstractNumId w:val="3"/>
  </w:num>
  <w:num w:numId="41">
    <w:abstractNumId w:val="11"/>
  </w:num>
  <w:num w:numId="42">
    <w:abstractNumId w:val="18"/>
  </w:num>
  <w:num w:numId="43">
    <w:abstractNumId w:val="32"/>
  </w:num>
  <w:num w:numId="44">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E4C9D"/>
    <w:rsid w:val="001E73E9"/>
    <w:rsid w:val="002376A2"/>
    <w:rsid w:val="00257E7E"/>
    <w:rsid w:val="0027474D"/>
    <w:rsid w:val="00293DA2"/>
    <w:rsid w:val="002B6A29"/>
    <w:rsid w:val="002C5F29"/>
    <w:rsid w:val="002F2B8A"/>
    <w:rsid w:val="003011C7"/>
    <w:rsid w:val="00301AA8"/>
    <w:rsid w:val="00372DF7"/>
    <w:rsid w:val="00373CF0"/>
    <w:rsid w:val="003A3E8D"/>
    <w:rsid w:val="003B0939"/>
    <w:rsid w:val="003F0C77"/>
    <w:rsid w:val="0048212A"/>
    <w:rsid w:val="00484844"/>
    <w:rsid w:val="00504A57"/>
    <w:rsid w:val="00534CAA"/>
    <w:rsid w:val="0053732B"/>
    <w:rsid w:val="005438CB"/>
    <w:rsid w:val="00593E4B"/>
    <w:rsid w:val="005E4A3D"/>
    <w:rsid w:val="005F036A"/>
    <w:rsid w:val="006034EC"/>
    <w:rsid w:val="00603AC0"/>
    <w:rsid w:val="00605605"/>
    <w:rsid w:val="00610027"/>
    <w:rsid w:val="006338B1"/>
    <w:rsid w:val="006A3CC2"/>
    <w:rsid w:val="006B0AA5"/>
    <w:rsid w:val="006B2ED2"/>
    <w:rsid w:val="006F20D0"/>
    <w:rsid w:val="007251EF"/>
    <w:rsid w:val="00783084"/>
    <w:rsid w:val="007A61F1"/>
    <w:rsid w:val="007E635E"/>
    <w:rsid w:val="007F26C3"/>
    <w:rsid w:val="007F2732"/>
    <w:rsid w:val="00805910"/>
    <w:rsid w:val="008259FB"/>
    <w:rsid w:val="00845338"/>
    <w:rsid w:val="00893527"/>
    <w:rsid w:val="008E7224"/>
    <w:rsid w:val="00904698"/>
    <w:rsid w:val="009073EC"/>
    <w:rsid w:val="009478FB"/>
    <w:rsid w:val="00951B77"/>
    <w:rsid w:val="00975331"/>
    <w:rsid w:val="009B7479"/>
    <w:rsid w:val="009C106D"/>
    <w:rsid w:val="009C583E"/>
    <w:rsid w:val="009F0488"/>
    <w:rsid w:val="009F0DE7"/>
    <w:rsid w:val="00A039B0"/>
    <w:rsid w:val="00A25232"/>
    <w:rsid w:val="00A811C7"/>
    <w:rsid w:val="00A9460A"/>
    <w:rsid w:val="00AB677E"/>
    <w:rsid w:val="00AC0FC3"/>
    <w:rsid w:val="00B019EA"/>
    <w:rsid w:val="00B24FB4"/>
    <w:rsid w:val="00B53D30"/>
    <w:rsid w:val="00B55D99"/>
    <w:rsid w:val="00B576FB"/>
    <w:rsid w:val="00BB507F"/>
    <w:rsid w:val="00BC6856"/>
    <w:rsid w:val="00BD3271"/>
    <w:rsid w:val="00BF1EB5"/>
    <w:rsid w:val="00C0102E"/>
    <w:rsid w:val="00C170A5"/>
    <w:rsid w:val="00C70196"/>
    <w:rsid w:val="00C71D53"/>
    <w:rsid w:val="00CA23BA"/>
    <w:rsid w:val="00CA5C6D"/>
    <w:rsid w:val="00D55467"/>
    <w:rsid w:val="00D65636"/>
    <w:rsid w:val="00DB6D68"/>
    <w:rsid w:val="00DC40AB"/>
    <w:rsid w:val="00DE7AF9"/>
    <w:rsid w:val="00E140C6"/>
    <w:rsid w:val="00E67E7C"/>
    <w:rsid w:val="00E94EC6"/>
    <w:rsid w:val="00EB59EB"/>
    <w:rsid w:val="00ED6153"/>
    <w:rsid w:val="00EF0A00"/>
    <w:rsid w:val="00F07E05"/>
    <w:rsid w:val="00F33CE5"/>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F33CE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id.gov/medicaid/quality-of-care/improvement-initiatives/care-transitions/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Regulations-and-Guidance/Legislation/EHRIncentivePrograms/downloads/8_Transition_of_Care_Summar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medicaid.gov/medicaid/quality-of-care/improvement-initiatives/care-transitions/index.html" TargetMode="External"/><Relationship Id="rId1" Type="http://schemas.openxmlformats.org/officeDocument/2006/relationships/hyperlink" Target="https://www.cms.gov/Regulations-and-Guidance/Legislation/EHRIncentivePrograms/downloads/8_Transition_of_Care_Summar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33C2-1D81-43B8-BD02-618C69F0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2019-05-08T15:00:00Z</dcterms:created>
  <dcterms:modified xsi:type="dcterms:W3CDTF">2019-05-09T20:41:00Z</dcterms:modified>
</cp:coreProperties>
</file>