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60FB8EDB">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64F08" w14:textId="77777777" w:rsidR="0015280D" w:rsidRDefault="0015280D">
                            <w:pPr>
                              <w:rPr>
                                <w:rFonts w:ascii="Calibri" w:hAnsi="Calibri"/>
                                <w:b/>
                                <w:color w:val="FFFFFF" w:themeColor="background1"/>
                                <w:sz w:val="72"/>
                              </w:rPr>
                            </w:pPr>
                            <w:r>
                              <w:rPr>
                                <w:rFonts w:ascii="Calibri" w:hAnsi="Calibri"/>
                                <w:b/>
                                <w:color w:val="FFFFFF" w:themeColor="background1"/>
                                <w:sz w:val="72"/>
                              </w:rPr>
                              <w:t>Antibiotic Stewardship</w:t>
                            </w:r>
                          </w:p>
                          <w:p w14:paraId="460BB61B" w14:textId="1761053F" w:rsidR="00EB07DC" w:rsidRDefault="0015280D">
                            <w:pPr>
                              <w:rPr>
                                <w:rFonts w:ascii="Calibri" w:hAnsi="Calibri"/>
                                <w:b/>
                                <w:color w:val="FFFFFF" w:themeColor="background1"/>
                                <w:sz w:val="72"/>
                              </w:rPr>
                            </w:pPr>
                            <w:r>
                              <w:rPr>
                                <w:rFonts w:ascii="Calibri" w:hAnsi="Calibri"/>
                                <w:b/>
                                <w:color w:val="FFFFFF" w:themeColor="background1"/>
                                <w:sz w:val="72"/>
                              </w:rPr>
                              <w:t>Policy</w:t>
                            </w:r>
                            <w:r w:rsidR="009861A5">
                              <w:rPr>
                                <w:rFonts w:ascii="Calibri" w:hAnsi="Calibri"/>
                                <w:b/>
                                <w:color w:val="FFFFFF" w:themeColor="background1"/>
                                <w:sz w:val="72"/>
                              </w:rPr>
                              <w:t xml:space="preserve"> and Procedure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filled="f" stroked="f" strokeweight=".5pt">
                <v:textbox>
                  <w:txbxContent>
                    <w:p w14:paraId="24664F08" w14:textId="77777777" w:rsidR="0015280D" w:rsidRDefault="0015280D">
                      <w:pPr>
                        <w:rPr>
                          <w:rFonts w:ascii="Calibri" w:hAnsi="Calibri"/>
                          <w:b/>
                          <w:color w:val="FFFFFF" w:themeColor="background1"/>
                          <w:sz w:val="72"/>
                        </w:rPr>
                      </w:pPr>
                      <w:r>
                        <w:rPr>
                          <w:rFonts w:ascii="Calibri" w:hAnsi="Calibri"/>
                          <w:b/>
                          <w:color w:val="FFFFFF" w:themeColor="background1"/>
                          <w:sz w:val="72"/>
                        </w:rPr>
                        <w:t>Antibiotic Stewardship</w:t>
                      </w:r>
                    </w:p>
                    <w:p w14:paraId="460BB61B" w14:textId="1761053F" w:rsidR="00EB07DC" w:rsidRDefault="0015280D">
                      <w:pPr>
                        <w:rPr>
                          <w:rFonts w:ascii="Calibri" w:hAnsi="Calibri"/>
                          <w:b/>
                          <w:color w:val="FFFFFF" w:themeColor="background1"/>
                          <w:sz w:val="72"/>
                        </w:rPr>
                      </w:pPr>
                      <w:r>
                        <w:rPr>
                          <w:rFonts w:ascii="Calibri" w:hAnsi="Calibri"/>
                          <w:b/>
                          <w:color w:val="FFFFFF" w:themeColor="background1"/>
                          <w:sz w:val="72"/>
                        </w:rPr>
                        <w:t>Policy</w:t>
                      </w:r>
                      <w:r w:rsidR="009861A5">
                        <w:rPr>
                          <w:rFonts w:ascii="Calibri" w:hAnsi="Calibri"/>
                          <w:b/>
                          <w:color w:val="FFFFFF" w:themeColor="background1"/>
                          <w:sz w:val="72"/>
                        </w:rPr>
                        <w:t xml:space="preserve"> and Procedure </w:t>
                      </w:r>
                    </w:p>
                  </w:txbxContent>
                </v:textbox>
                <w10:wrap anchorx="margin" anchory="page"/>
              </v:shape>
            </w:pict>
          </mc:Fallback>
        </mc:AlternateContent>
      </w:r>
    </w:p>
    <w:p w14:paraId="3E1A635D" w14:textId="77777777" w:rsidR="0015280D" w:rsidRPr="00FD6529" w:rsidRDefault="00484844" w:rsidP="0015280D">
      <w:pPr>
        <w:jc w:val="center"/>
        <w:rPr>
          <w:rStyle w:val="WP10"/>
          <w:rFonts w:asciiTheme="minorHAnsi" w:hAnsiTheme="minorHAnsi" w:cstheme="minorHAnsi"/>
          <w:b/>
          <w:color w:val="000000" w:themeColor="text1"/>
          <w:sz w:val="32"/>
          <w:szCs w:val="32"/>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15280D" w:rsidRPr="00FD6529">
        <w:rPr>
          <w:rStyle w:val="WP10"/>
          <w:rFonts w:asciiTheme="minorHAnsi" w:hAnsiTheme="minorHAnsi" w:cstheme="minorHAnsi"/>
          <w:b/>
          <w:sz w:val="32"/>
          <w:szCs w:val="32"/>
        </w:rPr>
        <w:lastRenderedPageBreak/>
        <w:t>Antibiotic Stewardship Policy</w:t>
      </w:r>
    </w:p>
    <w:p w14:paraId="1562C81F" w14:textId="77777777" w:rsidR="0015280D" w:rsidRPr="00FD6529" w:rsidRDefault="0015280D" w:rsidP="0015280D">
      <w:pPr>
        <w:tabs>
          <w:tab w:val="right" w:pos="439"/>
          <w:tab w:val="left" w:pos="660"/>
        </w:tabs>
        <w:suppressAutoHyphens/>
        <w:jc w:val="both"/>
        <w:rPr>
          <w:rStyle w:val="SubHeads"/>
          <w:rFonts w:asciiTheme="minorHAnsi" w:hAnsiTheme="minorHAnsi" w:cstheme="minorHAnsi"/>
          <w:szCs w:val="24"/>
        </w:rPr>
      </w:pPr>
    </w:p>
    <w:p w14:paraId="09A3FEDE" w14:textId="77777777" w:rsidR="0015280D" w:rsidRPr="007A796C" w:rsidRDefault="0015280D" w:rsidP="0015280D">
      <w:pPr>
        <w:tabs>
          <w:tab w:val="right" w:pos="439"/>
          <w:tab w:val="left" w:pos="660"/>
        </w:tabs>
        <w:suppressAutoHyphens/>
        <w:rPr>
          <w:rStyle w:val="SubHeads"/>
          <w:rFonts w:ascii="Calibri" w:hAnsi="Calibri" w:cs="Calibri"/>
          <w:spacing w:val="-2"/>
          <w:sz w:val="24"/>
          <w:szCs w:val="32"/>
        </w:rPr>
      </w:pPr>
      <w:r w:rsidRPr="007A796C">
        <w:rPr>
          <w:rStyle w:val="SubHeads"/>
          <w:rFonts w:ascii="Calibri" w:hAnsi="Calibri" w:cs="Calibri"/>
          <w:spacing w:val="-2"/>
          <w:sz w:val="24"/>
          <w:szCs w:val="32"/>
        </w:rPr>
        <w:t>Policy</w:t>
      </w:r>
    </w:p>
    <w:p w14:paraId="74D705E0" w14:textId="77777777" w:rsidR="009861A5" w:rsidRDefault="0015280D" w:rsidP="0015280D">
      <w:pPr>
        <w:pStyle w:val="Default"/>
        <w:rPr>
          <w:rFonts w:asciiTheme="minorHAnsi" w:hAnsiTheme="minorHAnsi" w:cstheme="minorHAnsi"/>
        </w:rPr>
      </w:pPr>
      <w:r w:rsidRPr="00FD6529">
        <w:rPr>
          <w:rFonts w:asciiTheme="minorHAnsi" w:hAnsiTheme="minorHAnsi" w:cstheme="minorHAnsi"/>
        </w:rPr>
        <w:t xml:space="preserve">It is the policy of this facility to establish and implement an antibiotic stewardship program that includes antibiotic use protocols and a system to monitor antibiotic use.  The Antibiotic Stewardship Program will be incorporated in the overall infection prevention and control program and reviewed on an annual basis and as needed.  </w:t>
      </w:r>
    </w:p>
    <w:p w14:paraId="16C4F904" w14:textId="77777777" w:rsidR="009861A5" w:rsidRDefault="009861A5" w:rsidP="0015280D">
      <w:pPr>
        <w:pStyle w:val="Default"/>
        <w:rPr>
          <w:rFonts w:asciiTheme="minorHAnsi" w:hAnsiTheme="minorHAnsi" w:cstheme="minorHAnsi"/>
        </w:rPr>
      </w:pPr>
    </w:p>
    <w:p w14:paraId="73754790" w14:textId="780945BA" w:rsidR="0015280D" w:rsidRPr="00FD6529" w:rsidRDefault="0015280D" w:rsidP="0015280D">
      <w:pPr>
        <w:pStyle w:val="Default"/>
        <w:rPr>
          <w:rFonts w:asciiTheme="minorHAnsi" w:hAnsiTheme="minorHAnsi" w:cstheme="minorHAnsi"/>
          <w:iCs/>
        </w:rPr>
      </w:pPr>
      <w:r w:rsidRPr="00FD6529">
        <w:rPr>
          <w:rFonts w:asciiTheme="minorHAnsi" w:hAnsiTheme="minorHAnsi" w:cstheme="minorHAnsi"/>
        </w:rPr>
        <w:t>The antibiotic stewardship program will contain a system of reports related to monitoring antibiotic usage and resistance data, include monitoring of antibiotic use, assess residents for infection using standardized criteria, include evidence of annual education on the facility’s antibiotic use protocols for prescribing practitioners and nursing staff and requires antibiotic orders to include the indication, dose and duration.</w:t>
      </w:r>
    </w:p>
    <w:p w14:paraId="75475300" w14:textId="77777777" w:rsidR="0015280D" w:rsidRPr="00FD6529" w:rsidRDefault="0015280D" w:rsidP="0015280D">
      <w:pPr>
        <w:pStyle w:val="Default"/>
        <w:rPr>
          <w:rFonts w:asciiTheme="minorHAnsi" w:hAnsiTheme="minorHAnsi" w:cstheme="minorHAnsi"/>
          <w:iCs/>
        </w:rPr>
      </w:pPr>
    </w:p>
    <w:p w14:paraId="4C481239" w14:textId="77777777" w:rsidR="0015280D" w:rsidRPr="00FD6529" w:rsidRDefault="0015280D" w:rsidP="0015280D">
      <w:pPr>
        <w:pStyle w:val="Default"/>
        <w:rPr>
          <w:rFonts w:asciiTheme="minorHAnsi" w:hAnsiTheme="minorHAnsi" w:cstheme="minorHAnsi"/>
          <w:b/>
          <w:iCs/>
        </w:rPr>
      </w:pPr>
      <w:r>
        <w:rPr>
          <w:rFonts w:asciiTheme="minorHAnsi" w:hAnsiTheme="minorHAnsi" w:cstheme="minorHAnsi"/>
          <w:b/>
          <w:iCs/>
        </w:rPr>
        <w:t>Objective of the Antibiotic Stewardship Policy</w:t>
      </w:r>
    </w:p>
    <w:p w14:paraId="03EFEBDA" w14:textId="77777777" w:rsidR="0015280D" w:rsidRPr="00FD6529" w:rsidRDefault="0015280D" w:rsidP="0015280D">
      <w:pPr>
        <w:pStyle w:val="Default"/>
        <w:rPr>
          <w:rFonts w:asciiTheme="minorHAnsi" w:hAnsiTheme="minorHAnsi" w:cstheme="minorHAnsi"/>
        </w:rPr>
      </w:pPr>
      <w:r w:rsidRPr="00FD6529">
        <w:rPr>
          <w:rFonts w:asciiTheme="minorHAnsi" w:hAnsiTheme="minorHAnsi" w:cstheme="minorHAnsi"/>
        </w:rPr>
        <w:t>The facility will develop an Antibiotic Stewardship Program that promotes appropriate use of antibiotics for quality of care, successful resident outcomes and reduction of potential adverse consequences related to antibiotic use.  A collaborative effort between the resident/resident representative, interdisciplinary team, practitioners, Medical Director, pharmacist and leadership team is essential for success of the Antibiotic Stewardship Program.</w:t>
      </w:r>
    </w:p>
    <w:p w14:paraId="2637C730" w14:textId="77777777" w:rsidR="0015280D" w:rsidRPr="00FD6529" w:rsidRDefault="0015280D" w:rsidP="0015280D">
      <w:pPr>
        <w:pStyle w:val="Default"/>
        <w:rPr>
          <w:rFonts w:asciiTheme="minorHAnsi" w:hAnsiTheme="minorHAnsi" w:cstheme="minorHAnsi"/>
        </w:rPr>
      </w:pPr>
    </w:p>
    <w:p w14:paraId="44E150BB" w14:textId="77777777" w:rsidR="0015280D" w:rsidRPr="00FD6529" w:rsidRDefault="0015280D" w:rsidP="0015280D">
      <w:pPr>
        <w:pStyle w:val="Default"/>
        <w:rPr>
          <w:rFonts w:asciiTheme="minorHAnsi" w:hAnsiTheme="minorHAnsi" w:cstheme="minorHAnsi"/>
        </w:rPr>
      </w:pPr>
      <w:r w:rsidRPr="00FD6529">
        <w:rPr>
          <w:rFonts w:asciiTheme="minorHAnsi" w:hAnsiTheme="minorHAnsi" w:cstheme="minorHAnsi"/>
        </w:rPr>
        <w:t xml:space="preserve">The facility practices the Core Elements of Antibiotic Stewardship, outlined by the Centers for Disease Control and Prevention to “optimize the treatment of infections while reducing the adverse events associated with antibiotic use” to include:  </w:t>
      </w:r>
    </w:p>
    <w:p w14:paraId="12E2FD0A" w14:textId="77777777" w:rsidR="0015280D" w:rsidRPr="00FD6529" w:rsidRDefault="0015280D">
      <w:pPr>
        <w:pStyle w:val="Default"/>
        <w:numPr>
          <w:ilvl w:val="0"/>
          <w:numId w:val="3"/>
        </w:numPr>
        <w:rPr>
          <w:rFonts w:asciiTheme="minorHAnsi" w:hAnsiTheme="minorHAnsi" w:cstheme="minorHAnsi"/>
        </w:rPr>
      </w:pPr>
      <w:r w:rsidRPr="00FD6529">
        <w:rPr>
          <w:rFonts w:asciiTheme="minorHAnsi" w:hAnsiTheme="minorHAnsi" w:cstheme="minorHAnsi"/>
        </w:rPr>
        <w:t>Leadership Commitment</w:t>
      </w:r>
    </w:p>
    <w:p w14:paraId="291219B6" w14:textId="77777777" w:rsidR="0015280D" w:rsidRPr="00FD6529" w:rsidRDefault="0015280D">
      <w:pPr>
        <w:pStyle w:val="Default"/>
        <w:numPr>
          <w:ilvl w:val="0"/>
          <w:numId w:val="3"/>
        </w:numPr>
        <w:rPr>
          <w:rFonts w:asciiTheme="minorHAnsi" w:hAnsiTheme="minorHAnsi" w:cstheme="minorHAnsi"/>
        </w:rPr>
      </w:pPr>
      <w:r w:rsidRPr="00FD6529">
        <w:rPr>
          <w:rFonts w:asciiTheme="minorHAnsi" w:hAnsiTheme="minorHAnsi" w:cstheme="minorHAnsi"/>
        </w:rPr>
        <w:t>Accountability</w:t>
      </w:r>
    </w:p>
    <w:p w14:paraId="367133FC" w14:textId="77777777" w:rsidR="0015280D" w:rsidRPr="00FD6529" w:rsidRDefault="0015280D">
      <w:pPr>
        <w:pStyle w:val="Default"/>
        <w:numPr>
          <w:ilvl w:val="0"/>
          <w:numId w:val="3"/>
        </w:numPr>
        <w:rPr>
          <w:rFonts w:asciiTheme="minorHAnsi" w:hAnsiTheme="minorHAnsi" w:cstheme="minorHAnsi"/>
        </w:rPr>
      </w:pPr>
      <w:r w:rsidRPr="00FD6529">
        <w:rPr>
          <w:rFonts w:asciiTheme="minorHAnsi" w:hAnsiTheme="minorHAnsi" w:cstheme="minorHAnsi"/>
        </w:rPr>
        <w:t>Drug Expertise</w:t>
      </w:r>
    </w:p>
    <w:p w14:paraId="2FE40E5C" w14:textId="77777777" w:rsidR="0015280D" w:rsidRPr="00FD6529" w:rsidRDefault="0015280D">
      <w:pPr>
        <w:pStyle w:val="Default"/>
        <w:numPr>
          <w:ilvl w:val="0"/>
          <w:numId w:val="3"/>
        </w:numPr>
        <w:rPr>
          <w:rFonts w:asciiTheme="minorHAnsi" w:hAnsiTheme="minorHAnsi" w:cstheme="minorHAnsi"/>
        </w:rPr>
      </w:pPr>
      <w:r w:rsidRPr="00FD6529">
        <w:rPr>
          <w:rFonts w:asciiTheme="minorHAnsi" w:hAnsiTheme="minorHAnsi" w:cstheme="minorHAnsi"/>
        </w:rPr>
        <w:t>Action</w:t>
      </w:r>
    </w:p>
    <w:p w14:paraId="5B07A1A8" w14:textId="77777777" w:rsidR="0015280D" w:rsidRPr="00FD6529" w:rsidRDefault="0015280D">
      <w:pPr>
        <w:pStyle w:val="Default"/>
        <w:numPr>
          <w:ilvl w:val="0"/>
          <w:numId w:val="3"/>
        </w:numPr>
        <w:rPr>
          <w:rFonts w:asciiTheme="minorHAnsi" w:hAnsiTheme="minorHAnsi" w:cstheme="minorHAnsi"/>
        </w:rPr>
      </w:pPr>
      <w:r w:rsidRPr="00FD6529">
        <w:rPr>
          <w:rFonts w:asciiTheme="minorHAnsi" w:hAnsiTheme="minorHAnsi" w:cstheme="minorHAnsi"/>
        </w:rPr>
        <w:t xml:space="preserve">Tracking </w:t>
      </w:r>
    </w:p>
    <w:p w14:paraId="4ED199C0" w14:textId="77777777" w:rsidR="0015280D" w:rsidRPr="00FD6529" w:rsidRDefault="0015280D">
      <w:pPr>
        <w:pStyle w:val="Default"/>
        <w:numPr>
          <w:ilvl w:val="0"/>
          <w:numId w:val="3"/>
        </w:numPr>
        <w:rPr>
          <w:rFonts w:asciiTheme="minorHAnsi" w:hAnsiTheme="minorHAnsi" w:cstheme="minorHAnsi"/>
        </w:rPr>
      </w:pPr>
      <w:r w:rsidRPr="00FD6529">
        <w:rPr>
          <w:rFonts w:asciiTheme="minorHAnsi" w:hAnsiTheme="minorHAnsi" w:cstheme="minorHAnsi"/>
        </w:rPr>
        <w:t>Reporting</w:t>
      </w:r>
    </w:p>
    <w:p w14:paraId="5A042DEB" w14:textId="77777777" w:rsidR="0015280D" w:rsidRPr="00FD6529" w:rsidRDefault="0015280D">
      <w:pPr>
        <w:pStyle w:val="Default"/>
        <w:numPr>
          <w:ilvl w:val="0"/>
          <w:numId w:val="3"/>
        </w:numPr>
        <w:rPr>
          <w:rFonts w:asciiTheme="minorHAnsi" w:hAnsiTheme="minorHAnsi" w:cstheme="minorHAnsi"/>
        </w:rPr>
      </w:pPr>
      <w:r w:rsidRPr="00FD6529">
        <w:rPr>
          <w:rFonts w:asciiTheme="minorHAnsi" w:hAnsiTheme="minorHAnsi" w:cstheme="minorHAnsi"/>
        </w:rPr>
        <w:t>Education</w:t>
      </w:r>
    </w:p>
    <w:p w14:paraId="6D628209" w14:textId="77777777" w:rsidR="0015280D" w:rsidRPr="00FD6529" w:rsidRDefault="0015280D" w:rsidP="0015280D">
      <w:pPr>
        <w:pStyle w:val="Default"/>
        <w:rPr>
          <w:rStyle w:val="SubHeads"/>
          <w:rFonts w:asciiTheme="minorHAnsi" w:hAnsiTheme="minorHAnsi" w:cstheme="minorHAnsi"/>
          <w:b w:val="0"/>
        </w:rPr>
      </w:pPr>
    </w:p>
    <w:p w14:paraId="77238229" w14:textId="77777777" w:rsidR="0015280D" w:rsidRDefault="0015280D" w:rsidP="0015280D">
      <w:pPr>
        <w:spacing w:after="160" w:line="259" w:lineRule="auto"/>
        <w:rPr>
          <w:rFonts w:asciiTheme="minorHAnsi" w:hAnsiTheme="minorHAnsi" w:cstheme="minorHAnsi"/>
          <w:b/>
          <w:szCs w:val="24"/>
        </w:rPr>
      </w:pPr>
      <w:r>
        <w:rPr>
          <w:rFonts w:asciiTheme="minorHAnsi" w:hAnsiTheme="minorHAnsi" w:cstheme="minorHAnsi"/>
          <w:b/>
          <w:szCs w:val="24"/>
        </w:rPr>
        <w:br w:type="page"/>
      </w:r>
    </w:p>
    <w:p w14:paraId="28455881" w14:textId="77777777" w:rsidR="0015280D" w:rsidRPr="00FD6529" w:rsidRDefault="0015280D" w:rsidP="0015280D">
      <w:pPr>
        <w:rPr>
          <w:rFonts w:asciiTheme="minorHAnsi" w:hAnsiTheme="minorHAnsi" w:cstheme="minorHAnsi"/>
          <w:szCs w:val="24"/>
        </w:rPr>
      </w:pPr>
      <w:r w:rsidRPr="00FD6529">
        <w:rPr>
          <w:rFonts w:asciiTheme="minorHAnsi" w:hAnsiTheme="minorHAnsi" w:cstheme="minorHAnsi"/>
          <w:b/>
          <w:szCs w:val="24"/>
        </w:rPr>
        <w:lastRenderedPageBreak/>
        <w:t>DEFINITIONS</w:t>
      </w:r>
    </w:p>
    <w:p w14:paraId="07611F37" w14:textId="77777777" w:rsidR="0015280D" w:rsidRPr="00FD6529" w:rsidRDefault="0015280D" w:rsidP="0015280D">
      <w:pPr>
        <w:rPr>
          <w:rFonts w:asciiTheme="minorHAnsi" w:hAnsiTheme="minorHAnsi" w:cstheme="minorHAnsi"/>
          <w:szCs w:val="24"/>
        </w:rPr>
      </w:pPr>
    </w:p>
    <w:p w14:paraId="33F725FF" w14:textId="77777777" w:rsidR="0015280D" w:rsidRPr="00FD6529" w:rsidRDefault="0015280D" w:rsidP="0015280D">
      <w:pPr>
        <w:rPr>
          <w:rFonts w:asciiTheme="minorHAnsi" w:hAnsiTheme="minorHAnsi" w:cstheme="minorHAnsi"/>
          <w:szCs w:val="24"/>
        </w:rPr>
      </w:pPr>
      <w:r w:rsidRPr="00FD6529">
        <w:rPr>
          <w:rFonts w:asciiTheme="minorHAnsi" w:hAnsiTheme="minorHAnsi" w:cstheme="minorHAnsi"/>
          <w:szCs w:val="24"/>
        </w:rPr>
        <w:t>“</w:t>
      </w:r>
      <w:r w:rsidRPr="00FD6529">
        <w:rPr>
          <w:rFonts w:asciiTheme="minorHAnsi" w:hAnsiTheme="minorHAnsi" w:cstheme="minorHAnsi"/>
          <w:b/>
          <w:szCs w:val="24"/>
        </w:rPr>
        <w:t>Antibiotic”:</w:t>
      </w:r>
      <w:r w:rsidRPr="00FD6529">
        <w:rPr>
          <w:rFonts w:asciiTheme="minorHAnsi" w:hAnsiTheme="minorHAnsi" w:cstheme="minorHAnsi"/>
          <w:szCs w:val="24"/>
        </w:rPr>
        <w:t xml:space="preserve">  refers to a medication used to treat bacterial infections. They are not effective for infections caused by viruses (e.g., influenza or most cases of bronchitis)</w:t>
      </w:r>
      <w:r w:rsidRPr="00FD6529">
        <w:rPr>
          <w:rFonts w:asciiTheme="minorHAnsi" w:hAnsiTheme="minorHAnsi" w:cstheme="minorHAnsi"/>
          <w:szCs w:val="24"/>
          <w:vertAlign w:val="superscript"/>
        </w:rPr>
        <w:t>1</w:t>
      </w:r>
      <w:r w:rsidRPr="00FD6529">
        <w:rPr>
          <w:rFonts w:asciiTheme="minorHAnsi" w:hAnsiTheme="minorHAnsi" w:cstheme="minorHAnsi"/>
          <w:szCs w:val="24"/>
        </w:rPr>
        <w:t xml:space="preserve">. </w:t>
      </w:r>
    </w:p>
    <w:p w14:paraId="2B797723" w14:textId="77777777" w:rsidR="0015280D" w:rsidRPr="00FD6529" w:rsidRDefault="0015280D" w:rsidP="0015280D">
      <w:pPr>
        <w:rPr>
          <w:rFonts w:asciiTheme="minorHAnsi" w:hAnsiTheme="minorHAnsi" w:cstheme="minorHAnsi"/>
          <w:szCs w:val="24"/>
        </w:rPr>
      </w:pPr>
    </w:p>
    <w:p w14:paraId="6DDC48D6" w14:textId="77777777" w:rsidR="0015280D" w:rsidRPr="00FD6529" w:rsidRDefault="0015280D" w:rsidP="0015280D">
      <w:pPr>
        <w:rPr>
          <w:rFonts w:asciiTheme="minorHAnsi" w:hAnsiTheme="minorHAnsi" w:cstheme="minorHAnsi"/>
          <w:szCs w:val="24"/>
          <w:vertAlign w:val="superscript"/>
        </w:rPr>
      </w:pPr>
      <w:r w:rsidRPr="00FD6529">
        <w:rPr>
          <w:rFonts w:asciiTheme="minorHAnsi" w:hAnsiTheme="minorHAnsi" w:cstheme="minorHAnsi"/>
          <w:b/>
          <w:szCs w:val="24"/>
        </w:rPr>
        <w:t>“Antibiogram”:</w:t>
      </w:r>
      <w:r w:rsidRPr="00FD6529">
        <w:rPr>
          <w:rFonts w:asciiTheme="minorHAnsi" w:hAnsiTheme="minorHAnsi" w:cstheme="minorHAnsi"/>
          <w:szCs w:val="24"/>
        </w:rPr>
        <w:t xml:space="preserve"> “</w:t>
      </w:r>
      <w:r w:rsidRPr="00FD6529">
        <w:rPr>
          <w:rFonts w:asciiTheme="minorHAnsi" w:hAnsiTheme="minorHAnsi" w:cstheme="minorHAnsi"/>
          <w:color w:val="1B1B1B"/>
          <w:szCs w:val="24"/>
          <w:shd w:val="clear" w:color="auto" w:fill="FFFFFF"/>
        </w:rPr>
        <w:t xml:space="preserve">An antibiogram is a report that displays the organisms present in clinical specimens that nursing homes send for laboratory testing—aggregated across all residents for a certain </w:t>
      </w:r>
      <w:proofErr w:type="gramStart"/>
      <w:r w:rsidRPr="00FD6529">
        <w:rPr>
          <w:rFonts w:asciiTheme="minorHAnsi" w:hAnsiTheme="minorHAnsi" w:cstheme="minorHAnsi"/>
          <w:color w:val="1B1B1B"/>
          <w:szCs w:val="24"/>
          <w:shd w:val="clear" w:color="auto" w:fill="FFFFFF"/>
        </w:rPr>
        <w:t>time period</w:t>
      </w:r>
      <w:proofErr w:type="gramEnd"/>
      <w:r w:rsidRPr="00FD6529">
        <w:rPr>
          <w:rFonts w:asciiTheme="minorHAnsi" w:hAnsiTheme="minorHAnsi" w:cstheme="minorHAnsi"/>
          <w:color w:val="1B1B1B"/>
          <w:szCs w:val="24"/>
          <w:shd w:val="clear" w:color="auto" w:fill="FFFFFF"/>
        </w:rPr>
        <w:t>—along with the susceptibility of each organism to various antibiotics. Referring to an antibiogram report enables prescribing clinicians to make prompt, empirically based decisions</w:t>
      </w:r>
      <w:r w:rsidRPr="00FD6529">
        <w:rPr>
          <w:rFonts w:asciiTheme="minorHAnsi" w:hAnsiTheme="minorHAnsi" w:cstheme="minorHAnsi"/>
          <w:szCs w:val="24"/>
        </w:rPr>
        <w:t>.”</w:t>
      </w:r>
      <w:r w:rsidRPr="00FD6529">
        <w:rPr>
          <w:rFonts w:asciiTheme="minorHAnsi" w:hAnsiTheme="minorHAnsi" w:cstheme="minorHAnsi"/>
          <w:szCs w:val="24"/>
          <w:vertAlign w:val="superscript"/>
        </w:rPr>
        <w:t>2</w:t>
      </w:r>
    </w:p>
    <w:p w14:paraId="36E332C1" w14:textId="77777777" w:rsidR="0015280D" w:rsidRPr="00FD6529" w:rsidRDefault="0015280D" w:rsidP="0015280D">
      <w:pPr>
        <w:rPr>
          <w:rFonts w:asciiTheme="minorHAnsi" w:hAnsiTheme="minorHAnsi" w:cstheme="minorHAnsi"/>
          <w:szCs w:val="24"/>
        </w:rPr>
      </w:pPr>
    </w:p>
    <w:p w14:paraId="451ED713" w14:textId="77777777" w:rsidR="0015280D" w:rsidRPr="00FD6529" w:rsidRDefault="0015280D" w:rsidP="0015280D">
      <w:pPr>
        <w:rPr>
          <w:rFonts w:asciiTheme="minorHAnsi" w:hAnsiTheme="minorHAnsi" w:cstheme="minorHAnsi"/>
          <w:szCs w:val="24"/>
          <w:vertAlign w:val="superscript"/>
        </w:rPr>
      </w:pPr>
      <w:r w:rsidRPr="00FD6529">
        <w:rPr>
          <w:rFonts w:asciiTheme="minorHAnsi" w:hAnsiTheme="minorHAnsi" w:cstheme="minorHAnsi"/>
          <w:szCs w:val="24"/>
        </w:rPr>
        <w:t>“</w:t>
      </w:r>
      <w:r w:rsidRPr="00FD6529">
        <w:rPr>
          <w:rFonts w:asciiTheme="minorHAnsi" w:hAnsiTheme="minorHAnsi" w:cstheme="minorHAnsi"/>
          <w:b/>
          <w:szCs w:val="24"/>
        </w:rPr>
        <w:t>Antibiotic Stewardship</w:t>
      </w:r>
      <w:r w:rsidRPr="00FD6529">
        <w:rPr>
          <w:rFonts w:asciiTheme="minorHAnsi" w:hAnsiTheme="minorHAnsi" w:cstheme="minorHAnsi"/>
          <w:szCs w:val="24"/>
        </w:rPr>
        <w:t>”: refers to a set of commitments and actions designed to optimize the treatment of infections while reducing the adverse events associated with antibiotic use. This can be accomplished through improving antibiotic prescribing, administration, and management practices thus reducing inappropriate use to ensure that residents receive the right antibiotic for the right indication, dose, and duration.”</w:t>
      </w:r>
      <w:r w:rsidRPr="00FD6529">
        <w:rPr>
          <w:rFonts w:asciiTheme="minorHAnsi" w:hAnsiTheme="minorHAnsi" w:cstheme="minorHAnsi"/>
          <w:szCs w:val="24"/>
          <w:vertAlign w:val="superscript"/>
        </w:rPr>
        <w:t>1</w:t>
      </w:r>
    </w:p>
    <w:p w14:paraId="4B2DE040" w14:textId="77777777" w:rsidR="0015280D" w:rsidRPr="00FD6529" w:rsidRDefault="0015280D" w:rsidP="0015280D">
      <w:pPr>
        <w:rPr>
          <w:rFonts w:asciiTheme="minorHAnsi" w:hAnsiTheme="minorHAnsi" w:cstheme="minorHAnsi"/>
          <w:szCs w:val="24"/>
        </w:rPr>
      </w:pPr>
    </w:p>
    <w:p w14:paraId="3A00C3C1" w14:textId="77777777" w:rsidR="0015280D" w:rsidRPr="00FD6529" w:rsidRDefault="0015280D" w:rsidP="0015280D">
      <w:pPr>
        <w:rPr>
          <w:rFonts w:asciiTheme="minorHAnsi" w:hAnsiTheme="minorHAnsi" w:cstheme="minorHAnsi"/>
          <w:szCs w:val="24"/>
        </w:rPr>
      </w:pPr>
      <w:r w:rsidRPr="00FD6529">
        <w:rPr>
          <w:rFonts w:asciiTheme="minorHAnsi" w:hAnsiTheme="minorHAnsi" w:cstheme="minorHAnsi"/>
          <w:szCs w:val="24"/>
        </w:rPr>
        <w:t xml:space="preserve"> </w:t>
      </w:r>
      <w:r w:rsidRPr="00FD6529">
        <w:rPr>
          <w:rFonts w:asciiTheme="minorHAnsi" w:hAnsiTheme="minorHAnsi" w:cstheme="minorHAnsi"/>
          <w:b/>
          <w:szCs w:val="24"/>
        </w:rPr>
        <w:t>“</w:t>
      </w:r>
      <w:proofErr w:type="spellStart"/>
      <w:r w:rsidRPr="00FD6529">
        <w:rPr>
          <w:rFonts w:asciiTheme="minorHAnsi" w:hAnsiTheme="minorHAnsi" w:cstheme="minorHAnsi"/>
          <w:b/>
          <w:i/>
          <w:iCs/>
          <w:szCs w:val="24"/>
        </w:rPr>
        <w:t>Clostridioides</w:t>
      </w:r>
      <w:proofErr w:type="spellEnd"/>
      <w:r w:rsidRPr="00FD6529">
        <w:rPr>
          <w:rFonts w:asciiTheme="minorHAnsi" w:hAnsiTheme="minorHAnsi" w:cstheme="minorHAnsi"/>
          <w:b/>
          <w:i/>
          <w:iCs/>
          <w:szCs w:val="24"/>
        </w:rPr>
        <w:t xml:space="preserve"> difficile</w:t>
      </w:r>
      <w:r w:rsidRPr="00FD6529">
        <w:rPr>
          <w:rFonts w:asciiTheme="minorHAnsi" w:hAnsiTheme="minorHAnsi" w:cstheme="minorHAnsi"/>
          <w:b/>
          <w:szCs w:val="24"/>
        </w:rPr>
        <w:t xml:space="preserve"> (also known as </w:t>
      </w:r>
      <w:r w:rsidRPr="00FD6529">
        <w:rPr>
          <w:rFonts w:asciiTheme="minorHAnsi" w:hAnsiTheme="minorHAnsi" w:cstheme="minorHAnsi"/>
          <w:b/>
          <w:i/>
          <w:iCs/>
          <w:szCs w:val="24"/>
        </w:rPr>
        <w:t>C. diff</w:t>
      </w:r>
      <w:r w:rsidRPr="00FD6529">
        <w:rPr>
          <w:rFonts w:asciiTheme="minorHAnsi" w:hAnsiTheme="minorHAnsi" w:cstheme="minorHAnsi"/>
          <w:b/>
          <w:szCs w:val="24"/>
        </w:rPr>
        <w:t xml:space="preserve"> or </w:t>
      </w:r>
      <w:r w:rsidRPr="00FD6529">
        <w:rPr>
          <w:rFonts w:asciiTheme="minorHAnsi" w:hAnsiTheme="minorHAnsi" w:cstheme="minorHAnsi"/>
          <w:b/>
          <w:i/>
          <w:iCs/>
          <w:szCs w:val="24"/>
        </w:rPr>
        <w:t>C. difficile</w:t>
      </w:r>
      <w:r w:rsidRPr="00FD6529">
        <w:rPr>
          <w:rFonts w:asciiTheme="minorHAnsi" w:hAnsiTheme="minorHAnsi" w:cstheme="minorHAnsi"/>
          <w:b/>
          <w:szCs w:val="24"/>
        </w:rPr>
        <w:t>)”:</w:t>
      </w:r>
      <w:r w:rsidRPr="00FD6529">
        <w:rPr>
          <w:rFonts w:asciiTheme="minorHAnsi" w:hAnsiTheme="minorHAnsi" w:cstheme="minorHAnsi"/>
          <w:szCs w:val="24"/>
        </w:rPr>
        <w:t xml:space="preserve"> is a germ (bacterium) that causes severe diarrhea and colitis (an inflammation of the colon).”</w:t>
      </w:r>
      <w:r w:rsidRPr="00FD6529">
        <w:rPr>
          <w:rFonts w:asciiTheme="minorHAnsi" w:hAnsiTheme="minorHAnsi" w:cstheme="minorHAnsi"/>
          <w:szCs w:val="24"/>
          <w:vertAlign w:val="superscript"/>
        </w:rPr>
        <w:t>3</w:t>
      </w:r>
    </w:p>
    <w:p w14:paraId="4A62880C" w14:textId="77777777" w:rsidR="0015280D" w:rsidRPr="00FD6529" w:rsidRDefault="0015280D" w:rsidP="0015280D">
      <w:pPr>
        <w:rPr>
          <w:rFonts w:asciiTheme="minorHAnsi" w:hAnsiTheme="minorHAnsi" w:cstheme="minorHAnsi"/>
          <w:szCs w:val="24"/>
        </w:rPr>
      </w:pPr>
    </w:p>
    <w:p w14:paraId="410A1265" w14:textId="77777777" w:rsidR="0015280D" w:rsidRPr="00FD6529" w:rsidRDefault="0015280D" w:rsidP="0015280D">
      <w:pPr>
        <w:rPr>
          <w:rFonts w:asciiTheme="minorHAnsi" w:hAnsiTheme="minorHAnsi" w:cstheme="minorHAnsi"/>
          <w:szCs w:val="24"/>
          <w:vertAlign w:val="superscript"/>
        </w:rPr>
      </w:pPr>
      <w:r w:rsidRPr="00FD6529">
        <w:rPr>
          <w:rFonts w:asciiTheme="minorHAnsi" w:hAnsiTheme="minorHAnsi" w:cstheme="minorHAnsi"/>
          <w:szCs w:val="24"/>
        </w:rPr>
        <w:t>“</w:t>
      </w:r>
      <w:r w:rsidRPr="00FD6529">
        <w:rPr>
          <w:rFonts w:asciiTheme="minorHAnsi" w:hAnsiTheme="minorHAnsi" w:cstheme="minorHAnsi"/>
          <w:b/>
          <w:szCs w:val="24"/>
        </w:rPr>
        <w:t>Colonization”</w:t>
      </w:r>
      <w:r w:rsidRPr="00FD6529">
        <w:rPr>
          <w:rFonts w:asciiTheme="minorHAnsi" w:hAnsiTheme="minorHAnsi" w:cstheme="minorHAnsi"/>
          <w:bCs/>
          <w:szCs w:val="24"/>
        </w:rPr>
        <w:t xml:space="preserve"> refers to</w:t>
      </w:r>
      <w:r w:rsidRPr="00FD6529">
        <w:rPr>
          <w:rFonts w:asciiTheme="minorHAnsi" w:hAnsiTheme="minorHAnsi" w:cstheme="minorHAnsi"/>
          <w:szCs w:val="24"/>
        </w:rPr>
        <w:t xml:space="preserve"> the presence of microorganisms on or within body sites without detectable host immune response, cellular damage, or clinical expression.”</w:t>
      </w:r>
      <w:r w:rsidRPr="00FD6529">
        <w:rPr>
          <w:rFonts w:asciiTheme="minorHAnsi" w:hAnsiTheme="minorHAnsi" w:cstheme="minorHAnsi"/>
          <w:szCs w:val="24"/>
          <w:vertAlign w:val="superscript"/>
        </w:rPr>
        <w:t>1</w:t>
      </w:r>
    </w:p>
    <w:p w14:paraId="3A7084F5" w14:textId="77777777" w:rsidR="0015280D" w:rsidRPr="00FD6529" w:rsidRDefault="0015280D" w:rsidP="0015280D">
      <w:pPr>
        <w:rPr>
          <w:rFonts w:asciiTheme="minorHAnsi" w:hAnsiTheme="minorHAnsi" w:cstheme="minorHAnsi"/>
          <w:szCs w:val="24"/>
        </w:rPr>
      </w:pPr>
    </w:p>
    <w:p w14:paraId="09A983CC" w14:textId="77777777" w:rsidR="0015280D" w:rsidRPr="00FD6529" w:rsidRDefault="0015280D" w:rsidP="0015280D">
      <w:pPr>
        <w:rPr>
          <w:rFonts w:asciiTheme="minorHAnsi" w:hAnsiTheme="minorHAnsi" w:cstheme="minorHAnsi"/>
          <w:szCs w:val="24"/>
        </w:rPr>
      </w:pPr>
      <w:r w:rsidRPr="00FD6529">
        <w:rPr>
          <w:rFonts w:asciiTheme="minorHAnsi" w:hAnsiTheme="minorHAnsi" w:cstheme="minorHAnsi"/>
          <w:szCs w:val="24"/>
        </w:rPr>
        <w:t>“</w:t>
      </w:r>
      <w:r w:rsidRPr="00FD6529">
        <w:rPr>
          <w:rFonts w:asciiTheme="minorHAnsi" w:hAnsiTheme="minorHAnsi" w:cstheme="minorHAnsi"/>
          <w:b/>
          <w:szCs w:val="24"/>
        </w:rPr>
        <w:t>Methicillin-resistant Staphylococcus aureus (MRSA)</w:t>
      </w:r>
      <w:r w:rsidRPr="00FD6529">
        <w:rPr>
          <w:rFonts w:asciiTheme="minorHAnsi" w:hAnsiTheme="minorHAnsi" w:cstheme="minorHAnsi"/>
          <w:szCs w:val="24"/>
        </w:rPr>
        <w:t xml:space="preserve"> (a.k.a. Oxacillin-resistant Staphylococcus aureus)” refers to Staphylococcus aureus bacteria that are resistant to treatment with one of the semi-synthetic </w:t>
      </w:r>
      <w:proofErr w:type="spellStart"/>
      <w:r w:rsidRPr="00FD6529">
        <w:rPr>
          <w:rFonts w:asciiTheme="minorHAnsi" w:hAnsiTheme="minorHAnsi" w:cstheme="minorHAnsi"/>
          <w:szCs w:val="24"/>
        </w:rPr>
        <w:t>penicillins</w:t>
      </w:r>
      <w:proofErr w:type="spellEnd"/>
      <w:r w:rsidRPr="00FD6529">
        <w:rPr>
          <w:rFonts w:asciiTheme="minorHAnsi" w:hAnsiTheme="minorHAnsi" w:cstheme="minorHAnsi"/>
          <w:szCs w:val="24"/>
        </w:rPr>
        <w:t xml:space="preserve"> (e.g., Oxacillin/Nafcillin/Methicillin).”</w:t>
      </w:r>
      <w:r w:rsidRPr="00FD6529">
        <w:rPr>
          <w:rFonts w:asciiTheme="minorHAnsi" w:hAnsiTheme="minorHAnsi" w:cstheme="minorHAnsi"/>
          <w:szCs w:val="24"/>
          <w:vertAlign w:val="superscript"/>
        </w:rPr>
        <w:t>1</w:t>
      </w:r>
      <w:r w:rsidRPr="00FD6529">
        <w:rPr>
          <w:rFonts w:asciiTheme="minorHAnsi" w:hAnsiTheme="minorHAnsi" w:cstheme="minorHAnsi"/>
          <w:szCs w:val="24"/>
        </w:rPr>
        <w:t xml:space="preserve"> </w:t>
      </w:r>
    </w:p>
    <w:p w14:paraId="4731E5F3" w14:textId="77777777" w:rsidR="0015280D" w:rsidRPr="00FD6529" w:rsidRDefault="0015280D" w:rsidP="0015280D">
      <w:pPr>
        <w:rPr>
          <w:rFonts w:asciiTheme="minorHAnsi" w:hAnsiTheme="minorHAnsi" w:cstheme="minorHAnsi"/>
          <w:szCs w:val="24"/>
        </w:rPr>
      </w:pPr>
    </w:p>
    <w:p w14:paraId="604F87FF" w14:textId="77777777" w:rsidR="0015280D" w:rsidRPr="00FD6529" w:rsidRDefault="0015280D" w:rsidP="0015280D">
      <w:pPr>
        <w:rPr>
          <w:rFonts w:asciiTheme="minorHAnsi" w:hAnsiTheme="minorHAnsi" w:cstheme="minorHAnsi"/>
          <w:szCs w:val="24"/>
        </w:rPr>
      </w:pPr>
      <w:r w:rsidRPr="00FD6529">
        <w:rPr>
          <w:rFonts w:asciiTheme="minorHAnsi" w:hAnsiTheme="minorHAnsi" w:cstheme="minorHAnsi"/>
          <w:szCs w:val="24"/>
        </w:rPr>
        <w:t>“</w:t>
      </w:r>
      <w:r w:rsidRPr="00FD6529">
        <w:rPr>
          <w:rFonts w:asciiTheme="minorHAnsi" w:hAnsiTheme="minorHAnsi" w:cstheme="minorHAnsi"/>
          <w:b/>
          <w:szCs w:val="24"/>
        </w:rPr>
        <w:t xml:space="preserve">Multidrug-Resistant Organisms (MDROs)” </w:t>
      </w:r>
      <w:r w:rsidRPr="00FD6529">
        <w:rPr>
          <w:rFonts w:asciiTheme="minorHAnsi" w:hAnsiTheme="minorHAnsi" w:cstheme="minorHAnsi"/>
          <w:szCs w:val="24"/>
        </w:rPr>
        <w:t>refer to microorganisms, predominantly bacteria, that are resistant to one or more classes of antimicrobial agents.  Although the names of certain MDROs describe resistance to only one agent, these pathogens are frequently resistant to most available antimicrobial agents.”</w:t>
      </w:r>
      <w:r w:rsidRPr="00FD6529">
        <w:rPr>
          <w:rFonts w:asciiTheme="minorHAnsi" w:hAnsiTheme="minorHAnsi" w:cstheme="minorHAnsi"/>
          <w:szCs w:val="24"/>
          <w:vertAlign w:val="superscript"/>
        </w:rPr>
        <w:t>1</w:t>
      </w:r>
      <w:r w:rsidRPr="00FD6529">
        <w:rPr>
          <w:rFonts w:asciiTheme="minorHAnsi" w:hAnsiTheme="minorHAnsi" w:cstheme="minorHAnsi"/>
          <w:szCs w:val="24"/>
        </w:rPr>
        <w:t xml:space="preserve"> </w:t>
      </w:r>
    </w:p>
    <w:p w14:paraId="662130FA" w14:textId="77777777" w:rsidR="0015280D" w:rsidRPr="00FD6529" w:rsidRDefault="0015280D" w:rsidP="0015280D">
      <w:pPr>
        <w:rPr>
          <w:rFonts w:asciiTheme="minorHAnsi" w:hAnsiTheme="minorHAnsi" w:cstheme="minorHAnsi"/>
          <w:szCs w:val="24"/>
        </w:rPr>
      </w:pPr>
    </w:p>
    <w:p w14:paraId="2260E3E1" w14:textId="77777777" w:rsidR="0015280D" w:rsidRPr="00FD6529" w:rsidRDefault="0015280D" w:rsidP="0015280D">
      <w:pPr>
        <w:rPr>
          <w:rFonts w:asciiTheme="minorHAnsi" w:hAnsiTheme="minorHAnsi" w:cstheme="minorHAnsi"/>
          <w:szCs w:val="24"/>
          <w:vertAlign w:val="superscript"/>
        </w:rPr>
      </w:pPr>
      <w:r w:rsidRPr="00FD6529">
        <w:rPr>
          <w:rFonts w:asciiTheme="minorHAnsi" w:hAnsiTheme="minorHAnsi" w:cstheme="minorHAnsi"/>
          <w:szCs w:val="24"/>
        </w:rPr>
        <w:t>“</w:t>
      </w:r>
      <w:r w:rsidRPr="00FD6529">
        <w:rPr>
          <w:rFonts w:asciiTheme="minorHAnsi" w:hAnsiTheme="minorHAnsi" w:cstheme="minorHAnsi"/>
          <w:b/>
          <w:szCs w:val="24"/>
        </w:rPr>
        <w:t xml:space="preserve">Vancomycin resistant enterococcus (VRE)” </w:t>
      </w:r>
      <w:r w:rsidRPr="00FD6529">
        <w:rPr>
          <w:rFonts w:asciiTheme="minorHAnsi" w:hAnsiTheme="minorHAnsi" w:cstheme="minorHAnsi"/>
          <w:bCs/>
          <w:szCs w:val="24"/>
        </w:rPr>
        <w:t>refers to a</w:t>
      </w:r>
      <w:r w:rsidRPr="00FD6529">
        <w:rPr>
          <w:rFonts w:asciiTheme="minorHAnsi" w:hAnsiTheme="minorHAnsi" w:cstheme="minorHAnsi"/>
          <w:szCs w:val="24"/>
        </w:rPr>
        <w:t xml:space="preserve"> species of enterococcus which have developed resistance to the antibiotic, vancomycin.”</w:t>
      </w:r>
      <w:r w:rsidRPr="00FD6529">
        <w:rPr>
          <w:rFonts w:asciiTheme="minorHAnsi" w:hAnsiTheme="minorHAnsi" w:cstheme="minorHAnsi"/>
          <w:szCs w:val="24"/>
          <w:vertAlign w:val="superscript"/>
        </w:rPr>
        <w:t>1</w:t>
      </w:r>
    </w:p>
    <w:p w14:paraId="7A12E848" w14:textId="77777777" w:rsidR="0015280D" w:rsidRPr="00FD6529" w:rsidRDefault="0015280D" w:rsidP="0015280D">
      <w:pPr>
        <w:rPr>
          <w:rFonts w:asciiTheme="minorHAnsi" w:hAnsiTheme="minorHAnsi" w:cstheme="minorHAnsi"/>
          <w:szCs w:val="24"/>
        </w:rPr>
      </w:pPr>
    </w:p>
    <w:p w14:paraId="4265FF2D" w14:textId="77777777" w:rsidR="0015280D" w:rsidRDefault="0015280D" w:rsidP="0015280D">
      <w:pPr>
        <w:spacing w:after="160" w:line="259" w:lineRule="auto"/>
        <w:rPr>
          <w:rStyle w:val="SubHeads"/>
          <w:rFonts w:asciiTheme="minorHAnsi" w:hAnsiTheme="minorHAnsi" w:cstheme="minorHAnsi"/>
          <w:spacing w:val="-2"/>
          <w:szCs w:val="24"/>
        </w:rPr>
      </w:pPr>
      <w:r>
        <w:rPr>
          <w:rStyle w:val="SubHeads"/>
          <w:rFonts w:asciiTheme="minorHAnsi" w:hAnsiTheme="minorHAnsi" w:cstheme="minorHAnsi"/>
          <w:spacing w:val="-2"/>
          <w:szCs w:val="24"/>
        </w:rPr>
        <w:br w:type="page"/>
      </w:r>
    </w:p>
    <w:p w14:paraId="5DFB4646" w14:textId="77777777" w:rsidR="0015280D" w:rsidRPr="009861A5" w:rsidRDefault="0015280D" w:rsidP="0015280D">
      <w:pPr>
        <w:tabs>
          <w:tab w:val="right" w:pos="439"/>
          <w:tab w:val="left" w:pos="660"/>
        </w:tabs>
        <w:suppressAutoHyphens/>
        <w:rPr>
          <w:rStyle w:val="SubHeads"/>
          <w:rFonts w:asciiTheme="minorHAnsi" w:hAnsiTheme="minorHAnsi" w:cstheme="minorHAnsi"/>
          <w:spacing w:val="-2"/>
          <w:sz w:val="24"/>
          <w:szCs w:val="24"/>
        </w:rPr>
      </w:pPr>
      <w:r w:rsidRPr="009861A5">
        <w:rPr>
          <w:rStyle w:val="SubHeads"/>
          <w:rFonts w:asciiTheme="minorHAnsi" w:hAnsiTheme="minorHAnsi" w:cstheme="minorHAnsi"/>
          <w:spacing w:val="-2"/>
          <w:sz w:val="24"/>
          <w:szCs w:val="24"/>
        </w:rPr>
        <w:lastRenderedPageBreak/>
        <w:t>Procedure</w:t>
      </w:r>
    </w:p>
    <w:p w14:paraId="0BC3DEF9"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When the nurse suspects that the resident has an infection, the nurse will perform an evaluation of the resident that includes:</w:t>
      </w:r>
    </w:p>
    <w:p w14:paraId="744DAD60" w14:textId="77777777" w:rsidR="0015280D" w:rsidRPr="00FD6529" w:rsidRDefault="0015280D">
      <w:pPr>
        <w:pStyle w:val="ListParagraph"/>
        <w:numPr>
          <w:ilvl w:val="0"/>
          <w:numId w:val="5"/>
        </w:numPr>
        <w:rPr>
          <w:rFonts w:asciiTheme="minorHAnsi" w:hAnsiTheme="minorHAnsi" w:cstheme="minorHAnsi"/>
          <w:szCs w:val="24"/>
        </w:rPr>
      </w:pPr>
      <w:r w:rsidRPr="00FD6529">
        <w:rPr>
          <w:rFonts w:asciiTheme="minorHAnsi" w:hAnsiTheme="minorHAnsi" w:cstheme="minorHAnsi"/>
          <w:szCs w:val="24"/>
        </w:rPr>
        <w:t>Resident signs and symptoms</w:t>
      </w:r>
    </w:p>
    <w:p w14:paraId="6301418C" w14:textId="77777777" w:rsidR="0015280D" w:rsidRPr="00FD6529" w:rsidRDefault="0015280D">
      <w:pPr>
        <w:pStyle w:val="ListParagraph"/>
        <w:numPr>
          <w:ilvl w:val="1"/>
          <w:numId w:val="6"/>
        </w:numPr>
        <w:rPr>
          <w:rFonts w:asciiTheme="minorHAnsi" w:hAnsiTheme="minorHAnsi" w:cstheme="minorHAnsi"/>
          <w:szCs w:val="24"/>
        </w:rPr>
      </w:pPr>
      <w:r w:rsidRPr="00FD6529">
        <w:rPr>
          <w:rFonts w:asciiTheme="minorHAnsi" w:hAnsiTheme="minorHAnsi" w:cstheme="minorHAnsi"/>
          <w:szCs w:val="24"/>
        </w:rPr>
        <w:t>Complete set of vital signs</w:t>
      </w:r>
    </w:p>
    <w:p w14:paraId="423C737F" w14:textId="77777777" w:rsidR="0015280D" w:rsidRPr="00FD6529" w:rsidRDefault="0015280D">
      <w:pPr>
        <w:pStyle w:val="ListParagraph"/>
        <w:numPr>
          <w:ilvl w:val="1"/>
          <w:numId w:val="6"/>
        </w:numPr>
        <w:rPr>
          <w:rFonts w:asciiTheme="minorHAnsi" w:hAnsiTheme="minorHAnsi" w:cstheme="minorHAnsi"/>
          <w:szCs w:val="24"/>
        </w:rPr>
      </w:pPr>
      <w:r w:rsidRPr="00FD6529">
        <w:rPr>
          <w:rFonts w:asciiTheme="minorHAnsi" w:hAnsiTheme="minorHAnsi" w:cstheme="minorHAnsi"/>
          <w:szCs w:val="24"/>
        </w:rPr>
        <w:t>Interview of resident for symptoms</w:t>
      </w:r>
    </w:p>
    <w:p w14:paraId="2427AE99" w14:textId="77777777" w:rsidR="0015280D" w:rsidRPr="00FD6529" w:rsidRDefault="0015280D">
      <w:pPr>
        <w:pStyle w:val="ListParagraph"/>
        <w:numPr>
          <w:ilvl w:val="1"/>
          <w:numId w:val="6"/>
        </w:numPr>
        <w:rPr>
          <w:rFonts w:asciiTheme="minorHAnsi" w:hAnsiTheme="minorHAnsi" w:cstheme="minorHAnsi"/>
          <w:szCs w:val="24"/>
        </w:rPr>
      </w:pPr>
      <w:r w:rsidRPr="00FD6529">
        <w:rPr>
          <w:rFonts w:asciiTheme="minorHAnsi" w:hAnsiTheme="minorHAnsi" w:cstheme="minorHAnsi"/>
          <w:szCs w:val="24"/>
        </w:rPr>
        <w:t>Assessment</w:t>
      </w:r>
    </w:p>
    <w:p w14:paraId="2161E6CB"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 xml:space="preserve">The Nurse will utilize the </w:t>
      </w:r>
      <w:r w:rsidRPr="009861A5">
        <w:rPr>
          <w:rFonts w:asciiTheme="minorHAnsi" w:hAnsiTheme="minorHAnsi" w:cstheme="minorHAnsi"/>
          <w:b/>
          <w:i/>
          <w:iCs/>
          <w:szCs w:val="24"/>
        </w:rPr>
        <w:t>(Insert</w:t>
      </w:r>
      <w:r w:rsidRPr="009861A5">
        <w:rPr>
          <w:rFonts w:asciiTheme="minorHAnsi" w:hAnsiTheme="minorHAnsi" w:cstheme="minorHAnsi"/>
          <w:i/>
          <w:iCs/>
          <w:szCs w:val="24"/>
        </w:rPr>
        <w:t xml:space="preserve"> </w:t>
      </w:r>
      <w:r w:rsidRPr="009861A5">
        <w:rPr>
          <w:rFonts w:asciiTheme="minorHAnsi" w:hAnsiTheme="minorHAnsi" w:cstheme="minorHAnsi"/>
          <w:b/>
          <w:i/>
          <w:iCs/>
          <w:szCs w:val="24"/>
        </w:rPr>
        <w:t>facility identified/approved tools:   i.e., Loeb Minimum Criteria, McGeer Constitutional Criteria, AHRQ-UTI SBAR, etc.</w:t>
      </w:r>
      <w:r w:rsidRPr="009861A5">
        <w:rPr>
          <w:rFonts w:asciiTheme="minorHAnsi" w:hAnsiTheme="minorHAnsi" w:cstheme="minorHAnsi"/>
          <w:i/>
          <w:iCs/>
          <w:szCs w:val="24"/>
        </w:rPr>
        <w:t xml:space="preserve">) </w:t>
      </w:r>
      <w:r w:rsidRPr="00FD6529">
        <w:rPr>
          <w:rFonts w:asciiTheme="minorHAnsi" w:hAnsiTheme="minorHAnsi" w:cstheme="minorHAnsi"/>
          <w:szCs w:val="24"/>
        </w:rPr>
        <w:t xml:space="preserve">infection criteria protocol to determine if it is necessary to treat with antibiotics or if adjustments in therapy need to be made.  </w:t>
      </w:r>
    </w:p>
    <w:p w14:paraId="43DFD0F6"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Notify physician/practitioner of resident change of condition and evaluation information.  The nurse to communicate to physician of infection criteria protocol to treat the respective infection.</w:t>
      </w:r>
    </w:p>
    <w:p w14:paraId="7C6057B0"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When diagnostics are ordered by the practitioner, the nurse will contact the lab/radiology to notify of physician order.</w:t>
      </w:r>
    </w:p>
    <w:p w14:paraId="1710F17A" w14:textId="77777777" w:rsidR="0015280D" w:rsidRPr="00FD6529" w:rsidRDefault="0015280D">
      <w:pPr>
        <w:pStyle w:val="ListParagraph"/>
        <w:numPr>
          <w:ilvl w:val="1"/>
          <w:numId w:val="4"/>
        </w:numPr>
        <w:rPr>
          <w:rFonts w:asciiTheme="minorHAnsi" w:hAnsiTheme="minorHAnsi" w:cstheme="minorHAnsi"/>
          <w:szCs w:val="24"/>
        </w:rPr>
      </w:pPr>
      <w:r w:rsidRPr="00FD6529">
        <w:rPr>
          <w:rFonts w:asciiTheme="minorHAnsi" w:hAnsiTheme="minorHAnsi" w:cstheme="minorHAnsi"/>
          <w:szCs w:val="24"/>
        </w:rPr>
        <w:t>Physician will be notified of results of diagnostics to ensure resident is taking the appropriate antibiotic or to determine if antibiotic needs to be discontinued or changed.</w:t>
      </w:r>
    </w:p>
    <w:p w14:paraId="000C9696"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 xml:space="preserve">If indicated, based upon (identified) criteria, an antibiotic is ordered, the practitioner will identify the diagnosis/indication, the appropriate antibiotic, proper dose, duration and route.  </w:t>
      </w:r>
    </w:p>
    <w:p w14:paraId="7DF9B3FB" w14:textId="77777777" w:rsidR="0015280D" w:rsidRPr="00FD6529" w:rsidRDefault="0015280D">
      <w:pPr>
        <w:pStyle w:val="ListParagraph"/>
        <w:numPr>
          <w:ilvl w:val="1"/>
          <w:numId w:val="4"/>
        </w:numPr>
        <w:rPr>
          <w:rFonts w:asciiTheme="minorHAnsi" w:hAnsiTheme="minorHAnsi" w:cstheme="minorHAnsi"/>
          <w:szCs w:val="24"/>
        </w:rPr>
      </w:pPr>
      <w:proofErr w:type="gramStart"/>
      <w:r w:rsidRPr="00FD6529">
        <w:rPr>
          <w:rFonts w:asciiTheme="minorHAnsi" w:hAnsiTheme="minorHAnsi" w:cstheme="minorHAnsi"/>
          <w:szCs w:val="24"/>
        </w:rPr>
        <w:t>In the event that</w:t>
      </w:r>
      <w:proofErr w:type="gramEnd"/>
      <w:r w:rsidRPr="00FD6529">
        <w:rPr>
          <w:rFonts w:asciiTheme="minorHAnsi" w:hAnsiTheme="minorHAnsi" w:cstheme="minorHAnsi"/>
          <w:szCs w:val="24"/>
        </w:rPr>
        <w:t xml:space="preserve"> the prescribing physician orders an antibiotic without identification of infection criteria, the physician will be requested to identify rationale for ordered antibiotic.  </w:t>
      </w:r>
    </w:p>
    <w:p w14:paraId="6F7AACED" w14:textId="77777777" w:rsidR="0015280D" w:rsidRPr="00FD6529" w:rsidRDefault="0015280D">
      <w:pPr>
        <w:pStyle w:val="ListParagraph"/>
        <w:numPr>
          <w:ilvl w:val="2"/>
          <w:numId w:val="4"/>
        </w:numPr>
        <w:rPr>
          <w:rFonts w:asciiTheme="minorHAnsi" w:hAnsiTheme="minorHAnsi" w:cstheme="minorHAnsi"/>
          <w:szCs w:val="24"/>
        </w:rPr>
      </w:pPr>
      <w:r w:rsidRPr="00FD6529">
        <w:rPr>
          <w:rFonts w:asciiTheme="minorHAnsi" w:hAnsiTheme="minorHAnsi" w:cstheme="minorHAnsi"/>
          <w:szCs w:val="24"/>
        </w:rPr>
        <w:t xml:space="preserve">The Medical Director will be contacted for further direction </w:t>
      </w:r>
      <w:proofErr w:type="gramStart"/>
      <w:r w:rsidRPr="00FD6529">
        <w:rPr>
          <w:rFonts w:asciiTheme="minorHAnsi" w:hAnsiTheme="minorHAnsi" w:cstheme="minorHAnsi"/>
          <w:szCs w:val="24"/>
        </w:rPr>
        <w:t>in the event that</w:t>
      </w:r>
      <w:proofErr w:type="gramEnd"/>
      <w:r w:rsidRPr="00FD6529">
        <w:rPr>
          <w:rFonts w:asciiTheme="minorHAnsi" w:hAnsiTheme="minorHAnsi" w:cstheme="minorHAnsi"/>
          <w:szCs w:val="24"/>
        </w:rPr>
        <w:t xml:space="preserve"> rationale is not consistent with the facility antibiotic stewardship policy.</w:t>
      </w:r>
    </w:p>
    <w:p w14:paraId="5048FA9B"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If the resident was admitted to the facility with an antibiotic ordered, the nurse is to identify physician’s orders for:</w:t>
      </w:r>
    </w:p>
    <w:p w14:paraId="1AC2E58D" w14:textId="77777777" w:rsidR="0015280D" w:rsidRPr="00FD6529" w:rsidRDefault="0015280D">
      <w:pPr>
        <w:pStyle w:val="ListParagraph"/>
        <w:numPr>
          <w:ilvl w:val="1"/>
          <w:numId w:val="4"/>
        </w:numPr>
        <w:rPr>
          <w:rFonts w:asciiTheme="minorHAnsi" w:hAnsiTheme="minorHAnsi" w:cstheme="minorHAnsi"/>
          <w:szCs w:val="24"/>
        </w:rPr>
      </w:pPr>
      <w:r w:rsidRPr="00FD6529">
        <w:rPr>
          <w:rFonts w:asciiTheme="minorHAnsi" w:hAnsiTheme="minorHAnsi" w:cstheme="minorHAnsi"/>
          <w:szCs w:val="24"/>
        </w:rPr>
        <w:t>Indication for use (diagnosis, lab/radiology results, symptoms, etc.)</w:t>
      </w:r>
    </w:p>
    <w:p w14:paraId="41ED1283" w14:textId="77777777" w:rsidR="0015280D" w:rsidRPr="00FD6529" w:rsidRDefault="0015280D">
      <w:pPr>
        <w:pStyle w:val="ListParagraph"/>
        <w:numPr>
          <w:ilvl w:val="1"/>
          <w:numId w:val="4"/>
        </w:numPr>
        <w:rPr>
          <w:rFonts w:asciiTheme="minorHAnsi" w:hAnsiTheme="minorHAnsi" w:cstheme="minorHAnsi"/>
          <w:szCs w:val="24"/>
        </w:rPr>
      </w:pPr>
      <w:r w:rsidRPr="00FD6529">
        <w:rPr>
          <w:rFonts w:asciiTheme="minorHAnsi" w:hAnsiTheme="minorHAnsi" w:cstheme="minorHAnsi"/>
          <w:szCs w:val="24"/>
        </w:rPr>
        <w:t>Documentation for dose, route and duration (ensuring stop date)</w:t>
      </w:r>
    </w:p>
    <w:p w14:paraId="3EEBFF96" w14:textId="77777777" w:rsidR="0015280D" w:rsidRPr="00FD6529" w:rsidRDefault="0015280D">
      <w:pPr>
        <w:pStyle w:val="ListParagraph"/>
        <w:numPr>
          <w:ilvl w:val="2"/>
          <w:numId w:val="4"/>
        </w:numPr>
        <w:rPr>
          <w:rFonts w:asciiTheme="minorHAnsi" w:hAnsiTheme="minorHAnsi" w:cstheme="minorHAnsi"/>
          <w:szCs w:val="24"/>
        </w:rPr>
      </w:pPr>
      <w:r w:rsidRPr="00FD6529">
        <w:rPr>
          <w:rFonts w:asciiTheme="minorHAnsi" w:hAnsiTheme="minorHAnsi" w:cstheme="minorHAnsi"/>
          <w:szCs w:val="24"/>
        </w:rPr>
        <w:t>Documentation of clinical justification for use of the antibiotic beyond the initial duration</w:t>
      </w:r>
    </w:p>
    <w:p w14:paraId="7EB8E8B7"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The nurse will observe and document effectiveness of antibiotic, side effects and potential adverse consequences.</w:t>
      </w:r>
    </w:p>
    <w:p w14:paraId="16C4C2C6" w14:textId="77777777" w:rsidR="0015280D" w:rsidRPr="00FD6529" w:rsidRDefault="0015280D">
      <w:pPr>
        <w:pStyle w:val="ListParagraph"/>
        <w:numPr>
          <w:ilvl w:val="1"/>
          <w:numId w:val="4"/>
        </w:numPr>
        <w:rPr>
          <w:rFonts w:asciiTheme="minorHAnsi" w:hAnsiTheme="minorHAnsi" w:cstheme="minorHAnsi"/>
          <w:szCs w:val="24"/>
        </w:rPr>
      </w:pPr>
      <w:r w:rsidRPr="00FD6529">
        <w:rPr>
          <w:rFonts w:asciiTheme="minorHAnsi" w:hAnsiTheme="minorHAnsi" w:cstheme="minorHAnsi"/>
          <w:szCs w:val="24"/>
        </w:rPr>
        <w:t>Resident evaluation, vital signs and observations for symptoms will be identified and documented</w:t>
      </w:r>
    </w:p>
    <w:p w14:paraId="1570D703" w14:textId="77777777" w:rsidR="0015280D" w:rsidRPr="00FD6529" w:rsidRDefault="0015280D">
      <w:pPr>
        <w:pStyle w:val="ListParagraph"/>
        <w:numPr>
          <w:ilvl w:val="1"/>
          <w:numId w:val="4"/>
        </w:numPr>
        <w:rPr>
          <w:rFonts w:asciiTheme="minorHAnsi" w:hAnsiTheme="minorHAnsi" w:cstheme="minorHAnsi"/>
          <w:szCs w:val="24"/>
        </w:rPr>
      </w:pPr>
      <w:r w:rsidRPr="00FD6529">
        <w:rPr>
          <w:rFonts w:asciiTheme="minorHAnsi" w:hAnsiTheme="minorHAnsi" w:cstheme="minorHAnsi"/>
          <w:szCs w:val="24"/>
        </w:rPr>
        <w:t xml:space="preserve">Resident will be evaluated for signs/symptoms of C. </w:t>
      </w:r>
      <w:r w:rsidRPr="00FD6529">
        <w:rPr>
          <w:rFonts w:asciiTheme="minorHAnsi" w:hAnsiTheme="minorHAnsi" w:cstheme="minorHAnsi"/>
          <w:i/>
          <w:szCs w:val="24"/>
        </w:rPr>
        <w:t>difficile</w:t>
      </w:r>
      <w:r w:rsidRPr="00FD6529">
        <w:rPr>
          <w:rFonts w:asciiTheme="minorHAnsi" w:hAnsiTheme="minorHAnsi" w:cstheme="minorHAnsi"/>
          <w:szCs w:val="24"/>
        </w:rPr>
        <w:t xml:space="preserve"> infection</w:t>
      </w:r>
    </w:p>
    <w:p w14:paraId="24F54098" w14:textId="77777777" w:rsidR="0015280D" w:rsidRPr="00FD6529" w:rsidRDefault="0015280D">
      <w:pPr>
        <w:pStyle w:val="ListParagraph"/>
        <w:numPr>
          <w:ilvl w:val="1"/>
          <w:numId w:val="4"/>
        </w:numPr>
        <w:rPr>
          <w:rFonts w:asciiTheme="minorHAnsi" w:hAnsiTheme="minorHAnsi" w:cstheme="minorHAnsi"/>
          <w:szCs w:val="24"/>
        </w:rPr>
      </w:pPr>
      <w:r w:rsidRPr="00FD6529">
        <w:rPr>
          <w:rFonts w:asciiTheme="minorHAnsi" w:hAnsiTheme="minorHAnsi" w:cstheme="minorHAnsi"/>
          <w:szCs w:val="24"/>
        </w:rPr>
        <w:t>Resident will be observed for potential side effects of the antibiotic</w:t>
      </w:r>
    </w:p>
    <w:p w14:paraId="6FBBCB07"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The antibiotic will be discontinued when no longer necessary</w:t>
      </w:r>
    </w:p>
    <w:p w14:paraId="1268B425"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lastRenderedPageBreak/>
        <w:t>The pharmacy consultant will review the antibiotic use for each resident on the Medication Regimen Review.</w:t>
      </w:r>
    </w:p>
    <w:p w14:paraId="55D3B8CC"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T</w:t>
      </w:r>
      <w:r>
        <w:rPr>
          <w:rFonts w:asciiTheme="minorHAnsi" w:hAnsiTheme="minorHAnsi" w:cstheme="minorHAnsi"/>
          <w:szCs w:val="24"/>
        </w:rPr>
        <w:t>h</w:t>
      </w:r>
      <w:r w:rsidRPr="00FD6529">
        <w:rPr>
          <w:rFonts w:asciiTheme="minorHAnsi" w:hAnsiTheme="minorHAnsi" w:cstheme="minorHAnsi"/>
          <w:szCs w:val="24"/>
        </w:rPr>
        <w:t>e Infection Preventionist will track antibiotic use and monitor adherence to evidence-based criteria, including:</w:t>
      </w:r>
    </w:p>
    <w:p w14:paraId="36653D48" w14:textId="77777777" w:rsidR="0015280D" w:rsidRPr="00FD6529" w:rsidRDefault="0015280D">
      <w:pPr>
        <w:pStyle w:val="ListParagraph"/>
        <w:numPr>
          <w:ilvl w:val="0"/>
          <w:numId w:val="7"/>
        </w:numPr>
        <w:rPr>
          <w:rFonts w:asciiTheme="minorHAnsi" w:hAnsiTheme="minorHAnsi" w:cstheme="minorHAnsi"/>
          <w:szCs w:val="24"/>
        </w:rPr>
      </w:pPr>
      <w:r w:rsidRPr="00FD6529">
        <w:rPr>
          <w:rFonts w:asciiTheme="minorHAnsi" w:hAnsiTheme="minorHAnsi" w:cstheme="minorHAnsi"/>
          <w:szCs w:val="24"/>
        </w:rPr>
        <w:t>Documentation related to antibiotic selection and use</w:t>
      </w:r>
    </w:p>
    <w:p w14:paraId="64ECBE75" w14:textId="77777777" w:rsidR="0015280D" w:rsidRPr="00FD6529" w:rsidRDefault="0015280D">
      <w:pPr>
        <w:pStyle w:val="ListParagraph"/>
        <w:numPr>
          <w:ilvl w:val="0"/>
          <w:numId w:val="7"/>
        </w:numPr>
        <w:rPr>
          <w:rFonts w:asciiTheme="minorHAnsi" w:hAnsiTheme="minorHAnsi" w:cstheme="minorHAnsi"/>
          <w:szCs w:val="24"/>
        </w:rPr>
      </w:pPr>
      <w:r w:rsidRPr="00FD6529">
        <w:rPr>
          <w:rFonts w:asciiTheme="minorHAnsi" w:hAnsiTheme="minorHAnsi" w:cstheme="minorHAnsi"/>
          <w:szCs w:val="24"/>
        </w:rPr>
        <w:t>Tracking antibiotics used to review patterns of use and determination of the impact of the antibiotic stewardship interventions</w:t>
      </w:r>
    </w:p>
    <w:p w14:paraId="69537D65" w14:textId="77777777" w:rsidR="0015280D" w:rsidRPr="00FD6529" w:rsidRDefault="0015280D">
      <w:pPr>
        <w:pStyle w:val="ListParagraph"/>
        <w:numPr>
          <w:ilvl w:val="0"/>
          <w:numId w:val="7"/>
        </w:numPr>
        <w:rPr>
          <w:rFonts w:asciiTheme="minorHAnsi" w:hAnsiTheme="minorHAnsi" w:cstheme="minorHAnsi"/>
          <w:szCs w:val="24"/>
        </w:rPr>
      </w:pPr>
      <w:r w:rsidRPr="00FD6529">
        <w:rPr>
          <w:rFonts w:asciiTheme="minorHAnsi" w:hAnsiTheme="minorHAnsi" w:cstheme="minorHAnsi"/>
          <w:szCs w:val="24"/>
        </w:rPr>
        <w:t xml:space="preserve">Monitoring for clinical outcomes such as rates of </w:t>
      </w:r>
      <w:r w:rsidRPr="00FD6529">
        <w:rPr>
          <w:rFonts w:asciiTheme="minorHAnsi" w:hAnsiTheme="minorHAnsi" w:cstheme="minorHAnsi"/>
          <w:i/>
          <w:iCs/>
          <w:szCs w:val="24"/>
        </w:rPr>
        <w:t>C. difficile</w:t>
      </w:r>
      <w:r w:rsidRPr="00FD6529">
        <w:rPr>
          <w:rFonts w:asciiTheme="minorHAnsi" w:hAnsiTheme="minorHAnsi" w:cstheme="minorHAnsi"/>
          <w:szCs w:val="24"/>
        </w:rPr>
        <w:t xml:space="preserve"> infections, antibiotic-resistant organisms or adverse drug events</w:t>
      </w:r>
    </w:p>
    <w:p w14:paraId="42FE854D" w14:textId="77777777" w:rsidR="0015280D" w:rsidRPr="00FD6529" w:rsidRDefault="0015280D">
      <w:pPr>
        <w:pStyle w:val="ListParagraph"/>
        <w:numPr>
          <w:ilvl w:val="0"/>
          <w:numId w:val="7"/>
        </w:numPr>
        <w:rPr>
          <w:rFonts w:asciiTheme="minorHAnsi" w:hAnsiTheme="minorHAnsi" w:cstheme="minorHAnsi"/>
          <w:szCs w:val="24"/>
        </w:rPr>
      </w:pPr>
      <w:r w:rsidRPr="00FD6529">
        <w:rPr>
          <w:rFonts w:asciiTheme="minorHAnsi" w:hAnsiTheme="minorHAnsi" w:cstheme="minorHAnsi"/>
          <w:szCs w:val="24"/>
        </w:rPr>
        <w:t xml:space="preserve">Reporting of communicable disease per State Law </w:t>
      </w:r>
      <w:r w:rsidRPr="009861A5">
        <w:rPr>
          <w:rFonts w:asciiTheme="minorHAnsi" w:hAnsiTheme="minorHAnsi" w:cstheme="minorHAnsi"/>
          <w:b/>
          <w:bCs/>
          <w:i/>
          <w:iCs/>
          <w:szCs w:val="24"/>
        </w:rPr>
        <w:t>(insert State requirements)</w:t>
      </w:r>
    </w:p>
    <w:p w14:paraId="394CAD3F" w14:textId="77777777" w:rsidR="0015280D" w:rsidRPr="00FD6529" w:rsidRDefault="0015280D">
      <w:pPr>
        <w:pStyle w:val="ListParagraph"/>
        <w:numPr>
          <w:ilvl w:val="0"/>
          <w:numId w:val="7"/>
        </w:numPr>
        <w:rPr>
          <w:rFonts w:asciiTheme="minorHAnsi" w:hAnsiTheme="minorHAnsi" w:cstheme="minorHAnsi"/>
          <w:szCs w:val="24"/>
        </w:rPr>
      </w:pPr>
      <w:r w:rsidRPr="00FD6529">
        <w:rPr>
          <w:rFonts w:asciiTheme="minorHAnsi" w:hAnsiTheme="minorHAnsi" w:cstheme="minorHAnsi"/>
          <w:szCs w:val="24"/>
        </w:rPr>
        <w:t>Assist prescribing practitioners in choosing the right antibiotic using antibiograms (</w:t>
      </w:r>
      <w:r w:rsidRPr="009861A5">
        <w:rPr>
          <w:rFonts w:asciiTheme="minorHAnsi" w:hAnsiTheme="minorHAnsi" w:cstheme="minorHAnsi"/>
          <w:bCs/>
          <w:szCs w:val="24"/>
        </w:rPr>
        <w:t>Recommend using AHRQ Toolkit:</w:t>
      </w:r>
      <w:r w:rsidRPr="00FD6529">
        <w:rPr>
          <w:rFonts w:asciiTheme="minorHAnsi" w:hAnsiTheme="minorHAnsi" w:cstheme="minorHAnsi"/>
          <w:b/>
          <w:szCs w:val="24"/>
        </w:rPr>
        <w:t xml:space="preserve">  </w:t>
      </w:r>
      <w:hyperlink r:id="rId8" w:history="1">
        <w:r w:rsidRPr="00FD6529">
          <w:rPr>
            <w:rStyle w:val="Hyperlink"/>
            <w:rFonts w:asciiTheme="minorHAnsi" w:hAnsiTheme="minorHAnsi" w:cstheme="minorHAnsi"/>
            <w:szCs w:val="24"/>
          </w:rPr>
          <w:t>https://www.ahrq.gov/nhguide/toolkits/help-clinicians-choose-the-right-antibiotic/index.html</w:t>
        </w:r>
      </w:hyperlink>
      <w:r w:rsidRPr="00FD6529">
        <w:rPr>
          <w:rFonts w:asciiTheme="minorHAnsi" w:hAnsiTheme="minorHAnsi" w:cstheme="minorHAnsi"/>
          <w:b/>
          <w:szCs w:val="24"/>
        </w:rPr>
        <w:t xml:space="preserve"> )</w:t>
      </w:r>
    </w:p>
    <w:p w14:paraId="4D9F0E4C" w14:textId="77777777" w:rsidR="0015280D" w:rsidRPr="00FD6529" w:rsidRDefault="0015280D">
      <w:pPr>
        <w:pStyle w:val="ListParagraph"/>
        <w:numPr>
          <w:ilvl w:val="0"/>
          <w:numId w:val="7"/>
        </w:numPr>
        <w:rPr>
          <w:rFonts w:asciiTheme="minorHAnsi" w:hAnsiTheme="minorHAnsi" w:cstheme="minorHAnsi"/>
          <w:szCs w:val="24"/>
        </w:rPr>
      </w:pPr>
      <w:r w:rsidRPr="00FD6529">
        <w:rPr>
          <w:rFonts w:asciiTheme="minorHAnsi" w:hAnsiTheme="minorHAnsi" w:cstheme="minorHAnsi"/>
          <w:szCs w:val="24"/>
        </w:rPr>
        <w:t>Provide reports related to monitoring antibiotic usage and resistance data to the QAA committee</w:t>
      </w:r>
    </w:p>
    <w:p w14:paraId="69F44D3A"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Education:  The Infection Preventionist or designee will provide written, live or virtual education to the nursing staff and prescribing practitioners on the facility’s antibiotic stewardship policy and procedure annually and with changes/updates to the facility policy and procedure.  Signature evidence of attendance will be obtained when education is complete.</w:t>
      </w:r>
    </w:p>
    <w:p w14:paraId="5C439F2F" w14:textId="77777777" w:rsidR="0015280D" w:rsidRPr="00FD6529" w:rsidRDefault="0015280D">
      <w:pPr>
        <w:pStyle w:val="ListParagraph"/>
        <w:numPr>
          <w:ilvl w:val="0"/>
          <w:numId w:val="4"/>
        </w:numPr>
        <w:rPr>
          <w:rFonts w:asciiTheme="minorHAnsi" w:hAnsiTheme="minorHAnsi" w:cstheme="minorHAnsi"/>
          <w:szCs w:val="24"/>
        </w:rPr>
      </w:pPr>
      <w:r w:rsidRPr="00FD6529">
        <w:rPr>
          <w:rFonts w:asciiTheme="minorHAnsi" w:hAnsiTheme="minorHAnsi" w:cstheme="minorHAnsi"/>
          <w:szCs w:val="24"/>
        </w:rPr>
        <w:t>During the quarterly QAA Committee Meeting, The Pharmacist, Medical Director, Infection Preventionist and IDT will analyze the antibiotic use in the facility to collaborate with nursing and clinical leaders for identification of potential QAPI process action plan related to analysis of the tracking and trending of data for quality outcomes.</w:t>
      </w:r>
    </w:p>
    <w:p w14:paraId="293EA43E" w14:textId="77777777" w:rsidR="0015280D" w:rsidRPr="00FD6529" w:rsidRDefault="0015280D" w:rsidP="0015280D">
      <w:pPr>
        <w:rPr>
          <w:rFonts w:asciiTheme="minorHAnsi" w:hAnsiTheme="minorHAnsi" w:cstheme="minorHAnsi"/>
          <w:szCs w:val="24"/>
        </w:rPr>
      </w:pPr>
    </w:p>
    <w:p w14:paraId="632FB404" w14:textId="77777777" w:rsidR="0015280D" w:rsidRDefault="0015280D" w:rsidP="0015280D">
      <w:pPr>
        <w:spacing w:after="160" w:line="259" w:lineRule="auto"/>
        <w:rPr>
          <w:rFonts w:asciiTheme="minorHAnsi" w:hAnsiTheme="minorHAnsi" w:cstheme="minorHAnsi"/>
          <w:b/>
          <w:szCs w:val="24"/>
        </w:rPr>
      </w:pPr>
      <w:r>
        <w:rPr>
          <w:rFonts w:asciiTheme="minorHAnsi" w:hAnsiTheme="minorHAnsi" w:cstheme="minorHAnsi"/>
          <w:b/>
          <w:szCs w:val="24"/>
        </w:rPr>
        <w:br w:type="page"/>
      </w:r>
    </w:p>
    <w:p w14:paraId="3819E0F5" w14:textId="77777777" w:rsidR="0015280D" w:rsidRPr="00FD6529" w:rsidRDefault="0015280D" w:rsidP="0015280D">
      <w:pPr>
        <w:rPr>
          <w:rFonts w:asciiTheme="minorHAnsi" w:hAnsiTheme="minorHAnsi" w:cstheme="minorHAnsi"/>
          <w:b/>
          <w:szCs w:val="24"/>
        </w:rPr>
      </w:pPr>
      <w:r w:rsidRPr="00FD6529">
        <w:rPr>
          <w:rFonts w:asciiTheme="minorHAnsi" w:hAnsiTheme="minorHAnsi" w:cstheme="minorHAnsi"/>
          <w:b/>
          <w:szCs w:val="24"/>
        </w:rPr>
        <w:lastRenderedPageBreak/>
        <w:t>References</w:t>
      </w:r>
    </w:p>
    <w:p w14:paraId="53D7F93C" w14:textId="77777777" w:rsidR="0015280D" w:rsidRPr="00FD6529" w:rsidRDefault="0015280D">
      <w:pPr>
        <w:pStyle w:val="ListParagraph"/>
        <w:numPr>
          <w:ilvl w:val="0"/>
          <w:numId w:val="2"/>
        </w:numPr>
        <w:spacing w:after="40"/>
        <w:rPr>
          <w:rStyle w:val="Hyperlink"/>
          <w:rFonts w:asciiTheme="minorHAnsi" w:hAnsiTheme="minorHAnsi" w:cstheme="minorHAnsi"/>
          <w:color w:val="auto"/>
          <w:szCs w:val="24"/>
          <w:u w:val="none"/>
        </w:rPr>
      </w:pPr>
      <w:r w:rsidRPr="00FD6529">
        <w:rPr>
          <w:rFonts w:asciiTheme="minorHAnsi" w:eastAsia="MS Mincho" w:hAnsiTheme="minorHAnsi" w:cstheme="minorHAnsi"/>
          <w:szCs w:val="24"/>
          <w:vertAlign w:val="superscript"/>
        </w:rPr>
        <w:t>1</w:t>
      </w:r>
      <w:r w:rsidRPr="00FD6529">
        <w:rPr>
          <w:rFonts w:asciiTheme="minorHAnsi" w:eastAsia="MS Mincho" w:hAnsiTheme="minorHAnsi" w:cstheme="minorHAnsi"/>
          <w:szCs w:val="24"/>
        </w:rPr>
        <w:t xml:space="preserve">Centers for Medicare &amp; Medicaid Services State Operations Manual, Appendix PP – Guidance to Surveyors for Long Term Care Facilities (Rev. 173, 11-22-17) Advance Copy, 2022:  </w:t>
      </w:r>
      <w:hyperlink r:id="rId9" w:history="1">
        <w:r w:rsidRPr="00FD6529">
          <w:rPr>
            <w:rStyle w:val="Hyperlink"/>
            <w:rFonts w:asciiTheme="minorHAnsi" w:hAnsiTheme="minorHAnsi" w:cstheme="minorHAnsi"/>
            <w:szCs w:val="24"/>
          </w:rPr>
          <w:t>https://www.cms.gov/files/document/appendix-pp-guidance-surveyor-long-term-care-facilities.pdf</w:t>
        </w:r>
      </w:hyperlink>
    </w:p>
    <w:p w14:paraId="1F8151A9" w14:textId="77777777" w:rsidR="0015280D" w:rsidRPr="00FD6529" w:rsidRDefault="0015280D">
      <w:pPr>
        <w:pStyle w:val="ListParagraph"/>
        <w:numPr>
          <w:ilvl w:val="0"/>
          <w:numId w:val="2"/>
        </w:numPr>
        <w:spacing w:after="40"/>
        <w:rPr>
          <w:rFonts w:asciiTheme="minorHAnsi" w:hAnsiTheme="minorHAnsi" w:cstheme="minorHAnsi"/>
          <w:szCs w:val="24"/>
        </w:rPr>
      </w:pPr>
      <w:r w:rsidRPr="00FD6529">
        <w:rPr>
          <w:rFonts w:asciiTheme="minorHAnsi" w:hAnsiTheme="minorHAnsi" w:cstheme="minorHAnsi"/>
          <w:szCs w:val="24"/>
          <w:vertAlign w:val="superscript"/>
        </w:rPr>
        <w:t>2</w:t>
      </w:r>
      <w:r w:rsidRPr="00FD6529">
        <w:rPr>
          <w:rFonts w:asciiTheme="minorHAnsi" w:hAnsiTheme="minorHAnsi" w:cstheme="minorHAnsi"/>
          <w:szCs w:val="24"/>
        </w:rPr>
        <w:t xml:space="preserve">Toolkit 3.  The Nursing Home Antibiogram Program Toolkit:  How to Develop and Implement an Antibiogram Program.  Content last reviewed November 2016.  Agency for Healthcare Research and Quality, Rockville, MD.    </w:t>
      </w:r>
      <w:hyperlink r:id="rId10" w:history="1">
        <w:r w:rsidRPr="00FD6529">
          <w:rPr>
            <w:rStyle w:val="Hyperlink"/>
            <w:rFonts w:asciiTheme="minorHAnsi" w:hAnsiTheme="minorHAnsi" w:cstheme="minorHAnsi"/>
            <w:szCs w:val="24"/>
          </w:rPr>
          <w:t>https://www.ahrq.gov/nhguide/toolkits/help-clinicians-choose-the-right-antibiotic/toolkit3-develop-implement-antibiogram-program.html</w:t>
        </w:r>
      </w:hyperlink>
      <w:r w:rsidRPr="00FD6529">
        <w:rPr>
          <w:rFonts w:asciiTheme="minorHAnsi" w:hAnsiTheme="minorHAnsi" w:cstheme="minorHAnsi"/>
          <w:szCs w:val="24"/>
        </w:rPr>
        <w:t xml:space="preserve"> </w:t>
      </w:r>
    </w:p>
    <w:p w14:paraId="3F267239" w14:textId="77777777" w:rsidR="0015280D" w:rsidRPr="00FD6529" w:rsidRDefault="0015280D">
      <w:pPr>
        <w:pStyle w:val="ListParagraph"/>
        <w:numPr>
          <w:ilvl w:val="0"/>
          <w:numId w:val="2"/>
        </w:numPr>
        <w:spacing w:after="40"/>
        <w:rPr>
          <w:rFonts w:asciiTheme="minorHAnsi" w:hAnsiTheme="minorHAnsi" w:cstheme="minorHAnsi"/>
          <w:szCs w:val="24"/>
        </w:rPr>
      </w:pPr>
      <w:r w:rsidRPr="00FD6529">
        <w:rPr>
          <w:rFonts w:asciiTheme="minorHAnsi" w:hAnsiTheme="minorHAnsi" w:cstheme="minorHAnsi"/>
          <w:szCs w:val="24"/>
          <w:vertAlign w:val="superscript"/>
        </w:rPr>
        <w:t>3</w:t>
      </w:r>
      <w:r w:rsidRPr="00FD6529">
        <w:rPr>
          <w:rFonts w:asciiTheme="minorHAnsi" w:hAnsiTheme="minorHAnsi" w:cstheme="minorHAnsi"/>
          <w:szCs w:val="24"/>
        </w:rPr>
        <w:t xml:space="preserve">Centers for Disease Control and Prevention.  </w:t>
      </w:r>
      <w:r w:rsidRPr="00FD6529">
        <w:rPr>
          <w:rFonts w:asciiTheme="minorHAnsi" w:hAnsiTheme="minorHAnsi" w:cstheme="minorHAnsi"/>
          <w:i/>
          <w:iCs/>
          <w:szCs w:val="24"/>
        </w:rPr>
        <w:t>C. diff</w:t>
      </w:r>
      <w:r w:rsidRPr="00FD6529">
        <w:rPr>
          <w:rFonts w:asciiTheme="minorHAnsi" w:hAnsiTheme="minorHAnsi" w:cstheme="minorHAnsi"/>
          <w:szCs w:val="24"/>
        </w:rPr>
        <w:t xml:space="preserve"> (</w:t>
      </w:r>
      <w:proofErr w:type="spellStart"/>
      <w:r w:rsidRPr="00FD6529">
        <w:rPr>
          <w:rFonts w:asciiTheme="minorHAnsi" w:hAnsiTheme="minorHAnsi" w:cstheme="minorHAnsi"/>
          <w:i/>
          <w:iCs/>
          <w:szCs w:val="24"/>
        </w:rPr>
        <w:t>Clostridioides</w:t>
      </w:r>
      <w:proofErr w:type="spellEnd"/>
      <w:r w:rsidRPr="00FD6529">
        <w:rPr>
          <w:rFonts w:asciiTheme="minorHAnsi" w:hAnsiTheme="minorHAnsi" w:cstheme="minorHAnsi"/>
          <w:i/>
          <w:iCs/>
          <w:szCs w:val="24"/>
        </w:rPr>
        <w:t xml:space="preserve"> difficile</w:t>
      </w:r>
      <w:r w:rsidRPr="00FD6529">
        <w:rPr>
          <w:rFonts w:asciiTheme="minorHAnsi" w:hAnsiTheme="minorHAnsi" w:cstheme="minorHAnsi"/>
          <w:szCs w:val="24"/>
        </w:rPr>
        <w:t xml:space="preserve">).  What is C. </w:t>
      </w:r>
      <w:r w:rsidRPr="00FD6529">
        <w:rPr>
          <w:rFonts w:asciiTheme="minorHAnsi" w:hAnsiTheme="minorHAnsi" w:cstheme="minorHAnsi"/>
          <w:i/>
          <w:iCs/>
          <w:szCs w:val="24"/>
        </w:rPr>
        <w:t>diff</w:t>
      </w:r>
      <w:r w:rsidRPr="00FD6529">
        <w:rPr>
          <w:rFonts w:asciiTheme="minorHAnsi" w:hAnsiTheme="minorHAnsi" w:cstheme="minorHAnsi"/>
          <w:szCs w:val="24"/>
        </w:rPr>
        <w:t xml:space="preserve">?”:  </w:t>
      </w:r>
      <w:hyperlink r:id="rId11" w:history="1">
        <w:r w:rsidRPr="00FD6529">
          <w:rPr>
            <w:rStyle w:val="Hyperlink"/>
            <w:rFonts w:asciiTheme="minorHAnsi" w:hAnsiTheme="minorHAnsi" w:cstheme="minorHAnsi"/>
            <w:szCs w:val="24"/>
          </w:rPr>
          <w:t>https://www.cdc.gov/cdiff/what-is.html</w:t>
        </w:r>
      </w:hyperlink>
      <w:r w:rsidRPr="00FD6529">
        <w:rPr>
          <w:rFonts w:asciiTheme="minorHAnsi" w:hAnsiTheme="minorHAnsi" w:cstheme="minorHAnsi"/>
          <w:szCs w:val="24"/>
        </w:rPr>
        <w:t xml:space="preserve"> </w:t>
      </w:r>
    </w:p>
    <w:p w14:paraId="40F8C687" w14:textId="77777777" w:rsidR="0015280D" w:rsidRPr="00FD6529" w:rsidRDefault="0015280D">
      <w:pPr>
        <w:pStyle w:val="FootnoteText"/>
        <w:numPr>
          <w:ilvl w:val="0"/>
          <w:numId w:val="1"/>
        </w:numPr>
        <w:spacing w:after="40"/>
        <w:rPr>
          <w:rFonts w:asciiTheme="minorHAnsi" w:hAnsiTheme="minorHAnsi" w:cstheme="minorHAnsi"/>
          <w:sz w:val="24"/>
          <w:szCs w:val="24"/>
        </w:rPr>
      </w:pPr>
      <w:r w:rsidRPr="00FD6529">
        <w:rPr>
          <w:rFonts w:asciiTheme="minorHAnsi" w:hAnsiTheme="minorHAnsi" w:cstheme="minorHAnsi"/>
          <w:sz w:val="24"/>
          <w:szCs w:val="24"/>
        </w:rPr>
        <w:t xml:space="preserve">Centers for Disease Control and Prevention.  Core Elements of Antibiotic Stewardship for Nursing Homes.   August 20, 2021: </w:t>
      </w:r>
      <w:hyperlink r:id="rId12" w:history="1">
        <w:r w:rsidRPr="00FD6529">
          <w:rPr>
            <w:rStyle w:val="Hyperlink"/>
            <w:rFonts w:asciiTheme="minorHAnsi" w:hAnsiTheme="minorHAnsi" w:cstheme="minorHAnsi"/>
            <w:sz w:val="24"/>
            <w:szCs w:val="24"/>
          </w:rPr>
          <w:t>https://www.cdc.gov/antibiotic-use/core-elements/nursing-homes.html</w:t>
        </w:r>
      </w:hyperlink>
      <w:r w:rsidRPr="00FD6529">
        <w:rPr>
          <w:rFonts w:asciiTheme="minorHAnsi" w:hAnsiTheme="minorHAnsi" w:cstheme="minorHAnsi"/>
          <w:sz w:val="24"/>
          <w:szCs w:val="24"/>
        </w:rPr>
        <w:t xml:space="preserve"> </w:t>
      </w:r>
    </w:p>
    <w:p w14:paraId="22E5105F" w14:textId="77777777" w:rsidR="0015280D" w:rsidRPr="00FD6529" w:rsidRDefault="0015280D">
      <w:pPr>
        <w:pStyle w:val="FootnoteText"/>
        <w:numPr>
          <w:ilvl w:val="0"/>
          <w:numId w:val="1"/>
        </w:numPr>
        <w:spacing w:after="40"/>
        <w:rPr>
          <w:rFonts w:asciiTheme="minorHAnsi" w:hAnsiTheme="minorHAnsi" w:cstheme="minorHAnsi"/>
          <w:sz w:val="24"/>
          <w:szCs w:val="24"/>
        </w:rPr>
      </w:pPr>
      <w:r w:rsidRPr="00FD6529">
        <w:rPr>
          <w:rFonts w:asciiTheme="minorHAnsi" w:hAnsiTheme="minorHAnsi" w:cstheme="minorHAnsi"/>
          <w:sz w:val="24"/>
          <w:szCs w:val="24"/>
        </w:rPr>
        <w:t xml:space="preserve">Agency for Healthcare Research and Quality.  Rockville, MD.  Nursing Home Antimicrobial Stewardship Guide:  </w:t>
      </w:r>
      <w:hyperlink r:id="rId13" w:history="1">
        <w:r w:rsidRPr="00FD6529">
          <w:rPr>
            <w:rStyle w:val="Hyperlink"/>
            <w:rFonts w:asciiTheme="minorHAnsi" w:hAnsiTheme="minorHAnsi" w:cstheme="minorHAnsi"/>
            <w:sz w:val="24"/>
            <w:szCs w:val="24"/>
          </w:rPr>
          <w:t>https://www.ahrq.gov/nhguide/index.html</w:t>
        </w:r>
      </w:hyperlink>
      <w:r w:rsidRPr="00FD6529">
        <w:rPr>
          <w:rFonts w:asciiTheme="minorHAnsi" w:hAnsiTheme="minorHAnsi" w:cstheme="minorHAnsi"/>
          <w:sz w:val="24"/>
          <w:szCs w:val="24"/>
        </w:rPr>
        <w:t xml:space="preserve"> </w:t>
      </w:r>
    </w:p>
    <w:p w14:paraId="48B1D27F" w14:textId="77777777" w:rsidR="0015280D" w:rsidRPr="00FD6529" w:rsidRDefault="0015280D">
      <w:pPr>
        <w:pStyle w:val="FootnoteText"/>
        <w:numPr>
          <w:ilvl w:val="0"/>
          <w:numId w:val="1"/>
        </w:numPr>
        <w:spacing w:after="40"/>
        <w:rPr>
          <w:rFonts w:asciiTheme="minorHAnsi" w:hAnsiTheme="minorHAnsi" w:cstheme="minorHAnsi"/>
          <w:sz w:val="24"/>
          <w:szCs w:val="24"/>
        </w:rPr>
      </w:pPr>
      <w:r w:rsidRPr="00FD6529">
        <w:rPr>
          <w:rFonts w:asciiTheme="minorHAnsi" w:hAnsiTheme="minorHAnsi" w:cstheme="minorHAnsi"/>
          <w:sz w:val="24"/>
          <w:szCs w:val="24"/>
        </w:rPr>
        <w:t xml:space="preserve">Centers for Disease Control and Prevention.  Antibiotic Resistance t\Threats in the United States, 2019:  </w:t>
      </w:r>
      <w:hyperlink r:id="rId14" w:history="1">
        <w:r w:rsidRPr="00FD6529">
          <w:rPr>
            <w:rStyle w:val="Hyperlink"/>
            <w:rFonts w:asciiTheme="minorHAnsi" w:hAnsiTheme="minorHAnsi" w:cstheme="minorHAnsi"/>
            <w:sz w:val="24"/>
            <w:szCs w:val="24"/>
          </w:rPr>
          <w:t>https://www.cdc.gov/drugresistance/pdf/threats-report/2019-ar-threats-report-508.pdf</w:t>
        </w:r>
      </w:hyperlink>
      <w:r w:rsidRPr="00FD6529">
        <w:rPr>
          <w:rFonts w:asciiTheme="minorHAnsi" w:hAnsiTheme="minorHAnsi" w:cstheme="minorHAnsi"/>
          <w:sz w:val="24"/>
          <w:szCs w:val="24"/>
        </w:rPr>
        <w:t xml:space="preserve"> </w:t>
      </w:r>
    </w:p>
    <w:p w14:paraId="68E51EA3" w14:textId="77777777" w:rsidR="0015280D" w:rsidRPr="00FD6529" w:rsidRDefault="0015280D">
      <w:pPr>
        <w:pStyle w:val="FootnoteText"/>
        <w:numPr>
          <w:ilvl w:val="0"/>
          <w:numId w:val="1"/>
        </w:numPr>
        <w:spacing w:after="40"/>
        <w:rPr>
          <w:rFonts w:asciiTheme="minorHAnsi" w:hAnsiTheme="minorHAnsi" w:cstheme="minorHAnsi"/>
          <w:sz w:val="24"/>
          <w:szCs w:val="24"/>
        </w:rPr>
      </w:pPr>
      <w:proofErr w:type="spellStart"/>
      <w:r w:rsidRPr="00FD6529">
        <w:rPr>
          <w:rFonts w:asciiTheme="minorHAnsi" w:hAnsiTheme="minorHAnsi" w:cstheme="minorHAnsi"/>
          <w:sz w:val="24"/>
          <w:szCs w:val="24"/>
        </w:rPr>
        <w:t>Spellberg</w:t>
      </w:r>
      <w:proofErr w:type="spellEnd"/>
      <w:r w:rsidRPr="00FD6529">
        <w:rPr>
          <w:rFonts w:asciiTheme="minorHAnsi" w:hAnsiTheme="minorHAnsi" w:cstheme="minorHAnsi"/>
          <w:sz w:val="24"/>
          <w:szCs w:val="24"/>
        </w:rPr>
        <w:t>, B., Bartlett, J.G., &amp; Gilbert, D. N. (January 24, 2013). The future of antibiotics and resistance. The New England Journal of Medicine, 368, 299-302.</w:t>
      </w:r>
    </w:p>
    <w:p w14:paraId="38D53E83" w14:textId="77777777" w:rsidR="0015280D" w:rsidRPr="00FD6529" w:rsidRDefault="0015280D" w:rsidP="0015280D">
      <w:pPr>
        <w:widowControl w:val="0"/>
        <w:overflowPunct w:val="0"/>
        <w:autoSpaceDE w:val="0"/>
        <w:autoSpaceDN w:val="0"/>
        <w:adjustRightInd w:val="0"/>
        <w:textAlignment w:val="baseline"/>
        <w:rPr>
          <w:rFonts w:asciiTheme="minorHAnsi" w:hAnsiTheme="minorHAnsi" w:cstheme="minorHAnsi"/>
          <w:szCs w:val="24"/>
        </w:rPr>
      </w:pPr>
    </w:p>
    <w:p w14:paraId="220B88D7" w14:textId="77777777" w:rsidR="00A61E37" w:rsidRPr="009603D0" w:rsidRDefault="00A61E37" w:rsidP="00A61E37">
      <w:pPr>
        <w:pStyle w:val="FootnoteText"/>
        <w:rPr>
          <w:rFonts w:ascii="Calibri" w:hAnsi="Calibri" w:cs="Calibri"/>
          <w:b/>
          <w:bCs/>
          <w:sz w:val="24"/>
          <w:szCs w:val="24"/>
        </w:rPr>
      </w:pPr>
    </w:p>
    <w:p w14:paraId="2F8D6F28" w14:textId="77777777" w:rsidR="00A61E37" w:rsidRPr="009603D0" w:rsidRDefault="00A61E37" w:rsidP="00A61E37">
      <w:pPr>
        <w:pStyle w:val="FootnoteText"/>
        <w:rPr>
          <w:rFonts w:ascii="Calibri" w:hAnsi="Calibri" w:cs="Calibri"/>
          <w:b/>
          <w:bCs/>
          <w:sz w:val="24"/>
          <w:szCs w:val="24"/>
        </w:rPr>
      </w:pPr>
      <w:r w:rsidRPr="009603D0">
        <w:rPr>
          <w:rFonts w:ascii="Calibri" w:hAnsi="Calibri" w:cs="Calibri"/>
          <w:b/>
          <w:bCs/>
          <w:sz w:val="24"/>
          <w:szCs w:val="24"/>
        </w:rPr>
        <w:t>Additional Helpful Resources for the Infection Preventionist:</w:t>
      </w:r>
    </w:p>
    <w:p w14:paraId="5FEE1D35" w14:textId="77777777" w:rsidR="00A61E37" w:rsidRPr="009603D0" w:rsidRDefault="00A61E37" w:rsidP="00A61E37">
      <w:pPr>
        <w:pStyle w:val="FootnoteText"/>
        <w:rPr>
          <w:rFonts w:ascii="Calibri" w:hAnsi="Calibri" w:cs="Calibri"/>
          <w:b/>
          <w:bCs/>
          <w:sz w:val="24"/>
          <w:szCs w:val="24"/>
        </w:rPr>
      </w:pPr>
    </w:p>
    <w:p w14:paraId="4CE365A0" w14:textId="77777777" w:rsidR="00A61E37" w:rsidRPr="009603D0" w:rsidRDefault="00A61E37" w:rsidP="00A61E37">
      <w:pPr>
        <w:pStyle w:val="FootnoteText"/>
        <w:numPr>
          <w:ilvl w:val="0"/>
          <w:numId w:val="2"/>
        </w:numPr>
        <w:rPr>
          <w:rFonts w:ascii="Calibri" w:hAnsi="Calibri" w:cs="Calibri"/>
          <w:sz w:val="24"/>
          <w:szCs w:val="24"/>
        </w:rPr>
      </w:pPr>
      <w:r w:rsidRPr="009603D0">
        <w:rPr>
          <w:rFonts w:ascii="Calibri" w:hAnsi="Calibri" w:cs="Calibri"/>
          <w:sz w:val="24"/>
          <w:szCs w:val="24"/>
        </w:rPr>
        <w:t xml:space="preserve">Centers for Disease Control and Prevention.  National Healthcare Safety Network (NHSN). MDRO &amp; CDI:  </w:t>
      </w:r>
      <w:hyperlink r:id="rId15" w:history="1">
        <w:r w:rsidRPr="009603D0">
          <w:rPr>
            <w:rStyle w:val="Hyperlink"/>
            <w:rFonts w:ascii="Calibri" w:hAnsi="Calibri" w:cs="Calibri"/>
            <w:sz w:val="24"/>
            <w:szCs w:val="24"/>
          </w:rPr>
          <w:t>https://www.cdc.gov/nhsn/ltc/cdiff-mrsa/index.html</w:t>
        </w:r>
      </w:hyperlink>
      <w:r w:rsidRPr="009603D0">
        <w:rPr>
          <w:rFonts w:ascii="Calibri" w:hAnsi="Calibri" w:cs="Calibri"/>
          <w:sz w:val="24"/>
          <w:szCs w:val="24"/>
        </w:rPr>
        <w:t xml:space="preserve"> </w:t>
      </w:r>
    </w:p>
    <w:p w14:paraId="4ABE9021" w14:textId="77777777" w:rsidR="00A61E37" w:rsidRPr="009603D0" w:rsidRDefault="00A61E37" w:rsidP="00A61E37">
      <w:pPr>
        <w:pStyle w:val="FootnoteText"/>
        <w:numPr>
          <w:ilvl w:val="0"/>
          <w:numId w:val="2"/>
        </w:numPr>
        <w:rPr>
          <w:rFonts w:ascii="Calibri" w:hAnsi="Calibri" w:cs="Calibri"/>
          <w:sz w:val="24"/>
          <w:szCs w:val="24"/>
        </w:rPr>
      </w:pPr>
      <w:r w:rsidRPr="009603D0">
        <w:rPr>
          <w:rFonts w:ascii="Calibri" w:hAnsi="Calibri" w:cs="Calibri"/>
          <w:sz w:val="24"/>
          <w:szCs w:val="24"/>
        </w:rPr>
        <w:t xml:space="preserve">Minnesota Department of Health.  72-Hour Antibiotic Time-Out Sample Template:  </w:t>
      </w:r>
      <w:hyperlink r:id="rId16" w:history="1">
        <w:r w:rsidRPr="009603D0">
          <w:rPr>
            <w:rStyle w:val="Hyperlink"/>
            <w:rFonts w:ascii="Calibri" w:hAnsi="Calibri" w:cs="Calibri"/>
            <w:sz w:val="24"/>
            <w:szCs w:val="24"/>
          </w:rPr>
          <w:t>https://www.health.state.mn.us/diseases/antibioticresistance/hcp/asp/ltc/abxtimeout.pdf</w:t>
        </w:r>
      </w:hyperlink>
      <w:r w:rsidRPr="009603D0">
        <w:rPr>
          <w:rFonts w:ascii="Calibri" w:hAnsi="Calibri" w:cs="Calibri"/>
          <w:sz w:val="24"/>
          <w:szCs w:val="24"/>
        </w:rPr>
        <w:t xml:space="preserve"> </w:t>
      </w:r>
    </w:p>
    <w:p w14:paraId="0BAC1623" w14:textId="77777777" w:rsidR="00A61E37" w:rsidRPr="009603D0" w:rsidRDefault="00A61E37" w:rsidP="00A61E37">
      <w:pPr>
        <w:pStyle w:val="FootnoteText"/>
        <w:numPr>
          <w:ilvl w:val="0"/>
          <w:numId w:val="2"/>
        </w:numPr>
        <w:rPr>
          <w:rFonts w:ascii="Calibri" w:hAnsi="Calibri" w:cs="Calibri"/>
          <w:sz w:val="24"/>
          <w:szCs w:val="24"/>
        </w:rPr>
      </w:pPr>
      <w:r w:rsidRPr="009603D0">
        <w:rPr>
          <w:rFonts w:ascii="Calibri" w:hAnsi="Calibri" w:cs="Calibri"/>
          <w:sz w:val="24"/>
          <w:szCs w:val="24"/>
        </w:rPr>
        <w:t xml:space="preserve">Minnesota Department of Health.  Minnesota Antimicrobial Stewardship Program Toolkit for Long-Term Care Facilities:  </w:t>
      </w:r>
      <w:hyperlink r:id="rId17" w:history="1">
        <w:r w:rsidRPr="009603D0">
          <w:rPr>
            <w:rStyle w:val="Hyperlink"/>
            <w:rFonts w:ascii="Calibri" w:hAnsi="Calibri" w:cs="Calibri"/>
            <w:sz w:val="24"/>
            <w:szCs w:val="24"/>
          </w:rPr>
          <w:t>https://www.health.state.mn.us/diseases/antibioticresistance/hcp/asp/ltc/index.htm</w:t>
        </w:r>
      </w:hyperlink>
      <w:r w:rsidRPr="009603D0">
        <w:rPr>
          <w:rFonts w:ascii="Calibri" w:hAnsi="Calibri" w:cs="Calibri"/>
          <w:sz w:val="24"/>
          <w:szCs w:val="24"/>
        </w:rPr>
        <w:t xml:space="preserve"> </w:t>
      </w:r>
    </w:p>
    <w:p w14:paraId="36B0DE2A" w14:textId="67CC059F" w:rsidR="00987103" w:rsidRDefault="00987103" w:rsidP="0015280D">
      <w:pPr>
        <w:pStyle w:val="NoSpacing"/>
        <w:jc w:val="center"/>
        <w:rPr>
          <w:rFonts w:ascii="Calibri" w:hAnsi="Calibri" w:cs="Calibri"/>
          <w:szCs w:val="24"/>
        </w:rPr>
      </w:pPr>
    </w:p>
    <w:sectPr w:rsidR="00987103" w:rsidSect="00DE7AF9">
      <w:headerReference w:type="even" r:id="rId18"/>
      <w:headerReference w:type="default" r:id="rId19"/>
      <w:footerReference w:type="even" r:id="rId20"/>
      <w:footerReference w:type="default" r:id="rId21"/>
      <w:headerReference w:type="first" r:id="rId22"/>
      <w:footerReference w:type="first" r:id="rId2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800D" w14:textId="77777777" w:rsidR="00316111" w:rsidRDefault="00316111" w:rsidP="00FE158D">
      <w:r>
        <w:separator/>
      </w:r>
    </w:p>
  </w:endnote>
  <w:endnote w:type="continuationSeparator" w:id="0">
    <w:p w14:paraId="3CA37418" w14:textId="77777777" w:rsidR="00316111" w:rsidRDefault="00316111"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F8E4" w14:textId="77777777" w:rsidR="009738E4" w:rsidRDefault="0097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4347A03"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9738E4">
      <w:rPr>
        <w:rFonts w:ascii="Calibri" w:eastAsia="Calibri" w:hAnsi="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E433" w14:textId="77777777" w:rsidR="009738E4" w:rsidRDefault="0097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C4BB" w14:textId="77777777" w:rsidR="00316111" w:rsidRDefault="00316111" w:rsidP="00FE158D">
      <w:r>
        <w:separator/>
      </w:r>
    </w:p>
  </w:footnote>
  <w:footnote w:type="continuationSeparator" w:id="0">
    <w:p w14:paraId="0B29C0BE" w14:textId="77777777" w:rsidR="00316111" w:rsidRDefault="00316111"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464F" w14:textId="77777777" w:rsidR="009738E4" w:rsidRDefault="0097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988438">
    <w:abstractNumId w:val="3"/>
  </w:num>
  <w:num w:numId="2" w16cid:durableId="288244667">
    <w:abstractNumId w:val="5"/>
  </w:num>
  <w:num w:numId="3" w16cid:durableId="567149931">
    <w:abstractNumId w:val="6"/>
  </w:num>
  <w:num w:numId="4" w16cid:durableId="186254777">
    <w:abstractNumId w:val="7"/>
  </w:num>
  <w:num w:numId="5" w16cid:durableId="1272661030">
    <w:abstractNumId w:val="4"/>
  </w:num>
  <w:num w:numId="6" w16cid:durableId="383796251">
    <w:abstractNumId w:val="1"/>
  </w:num>
  <w:num w:numId="7" w16cid:durableId="2757986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23790"/>
    <w:rsid w:val="000278C1"/>
    <w:rsid w:val="00032BFD"/>
    <w:rsid w:val="00066D50"/>
    <w:rsid w:val="00076748"/>
    <w:rsid w:val="000B0803"/>
    <w:rsid w:val="000D380A"/>
    <w:rsid w:val="000D5B62"/>
    <w:rsid w:val="000E228A"/>
    <w:rsid w:val="000F7E90"/>
    <w:rsid w:val="00102A96"/>
    <w:rsid w:val="001139B8"/>
    <w:rsid w:val="0012309D"/>
    <w:rsid w:val="00144BE0"/>
    <w:rsid w:val="0015280D"/>
    <w:rsid w:val="001605BA"/>
    <w:rsid w:val="00170AD2"/>
    <w:rsid w:val="00185739"/>
    <w:rsid w:val="0019504D"/>
    <w:rsid w:val="002103E5"/>
    <w:rsid w:val="00234C60"/>
    <w:rsid w:val="002376A2"/>
    <w:rsid w:val="0025697B"/>
    <w:rsid w:val="002C5F29"/>
    <w:rsid w:val="002D68EE"/>
    <w:rsid w:val="002E712F"/>
    <w:rsid w:val="002F2B8A"/>
    <w:rsid w:val="003011C7"/>
    <w:rsid w:val="00301AA8"/>
    <w:rsid w:val="00316111"/>
    <w:rsid w:val="0031633A"/>
    <w:rsid w:val="00317996"/>
    <w:rsid w:val="0033490A"/>
    <w:rsid w:val="00372DF7"/>
    <w:rsid w:val="003734C7"/>
    <w:rsid w:val="00373CF0"/>
    <w:rsid w:val="003A3E8D"/>
    <w:rsid w:val="003A498A"/>
    <w:rsid w:val="003B0882"/>
    <w:rsid w:val="003B0939"/>
    <w:rsid w:val="003F0C77"/>
    <w:rsid w:val="00402197"/>
    <w:rsid w:val="00416F96"/>
    <w:rsid w:val="004613FA"/>
    <w:rsid w:val="00474553"/>
    <w:rsid w:val="00484844"/>
    <w:rsid w:val="00534CAA"/>
    <w:rsid w:val="0053732B"/>
    <w:rsid w:val="005438CB"/>
    <w:rsid w:val="005817E5"/>
    <w:rsid w:val="005868A0"/>
    <w:rsid w:val="00593E4B"/>
    <w:rsid w:val="005B2958"/>
    <w:rsid w:val="005D6B44"/>
    <w:rsid w:val="005E4A55"/>
    <w:rsid w:val="005F036A"/>
    <w:rsid w:val="006030A0"/>
    <w:rsid w:val="006034EC"/>
    <w:rsid w:val="00603AC0"/>
    <w:rsid w:val="00605605"/>
    <w:rsid w:val="00610027"/>
    <w:rsid w:val="006338B1"/>
    <w:rsid w:val="0066706B"/>
    <w:rsid w:val="006A3CC2"/>
    <w:rsid w:val="006B2ED2"/>
    <w:rsid w:val="006C7A0C"/>
    <w:rsid w:val="006F5F72"/>
    <w:rsid w:val="007251EF"/>
    <w:rsid w:val="00726DBD"/>
    <w:rsid w:val="00746482"/>
    <w:rsid w:val="0077468B"/>
    <w:rsid w:val="00776B73"/>
    <w:rsid w:val="00783084"/>
    <w:rsid w:val="007A61F1"/>
    <w:rsid w:val="007A796C"/>
    <w:rsid w:val="007C5E7E"/>
    <w:rsid w:val="007F26C3"/>
    <w:rsid w:val="00805910"/>
    <w:rsid w:val="008259FB"/>
    <w:rsid w:val="008435F2"/>
    <w:rsid w:val="0084504B"/>
    <w:rsid w:val="00863B1E"/>
    <w:rsid w:val="00883AD3"/>
    <w:rsid w:val="00885541"/>
    <w:rsid w:val="008B40BC"/>
    <w:rsid w:val="008C28BD"/>
    <w:rsid w:val="008D143F"/>
    <w:rsid w:val="008E7224"/>
    <w:rsid w:val="008E7572"/>
    <w:rsid w:val="008F1ABA"/>
    <w:rsid w:val="009073EC"/>
    <w:rsid w:val="00910181"/>
    <w:rsid w:val="009478FB"/>
    <w:rsid w:val="00951B77"/>
    <w:rsid w:val="009738E4"/>
    <w:rsid w:val="009854C3"/>
    <w:rsid w:val="009861A5"/>
    <w:rsid w:val="00987103"/>
    <w:rsid w:val="009B7479"/>
    <w:rsid w:val="009C106D"/>
    <w:rsid w:val="009C583E"/>
    <w:rsid w:val="009E178C"/>
    <w:rsid w:val="009F0488"/>
    <w:rsid w:val="00A039B0"/>
    <w:rsid w:val="00A25232"/>
    <w:rsid w:val="00A332E5"/>
    <w:rsid w:val="00A61E37"/>
    <w:rsid w:val="00A723F9"/>
    <w:rsid w:val="00A86993"/>
    <w:rsid w:val="00A9460A"/>
    <w:rsid w:val="00AA3D15"/>
    <w:rsid w:val="00AA7C93"/>
    <w:rsid w:val="00AB677E"/>
    <w:rsid w:val="00AC0FC3"/>
    <w:rsid w:val="00B019EA"/>
    <w:rsid w:val="00B065BA"/>
    <w:rsid w:val="00B24FB4"/>
    <w:rsid w:val="00BA4702"/>
    <w:rsid w:val="00BB507F"/>
    <w:rsid w:val="00BC79D8"/>
    <w:rsid w:val="00BF2FC4"/>
    <w:rsid w:val="00C0102E"/>
    <w:rsid w:val="00C170A5"/>
    <w:rsid w:val="00C47D16"/>
    <w:rsid w:val="00C71D53"/>
    <w:rsid w:val="00C82867"/>
    <w:rsid w:val="00C83618"/>
    <w:rsid w:val="00CC2821"/>
    <w:rsid w:val="00CD1D73"/>
    <w:rsid w:val="00CE786A"/>
    <w:rsid w:val="00CF74A2"/>
    <w:rsid w:val="00D2277C"/>
    <w:rsid w:val="00D5661D"/>
    <w:rsid w:val="00D71900"/>
    <w:rsid w:val="00D7718E"/>
    <w:rsid w:val="00D86FCB"/>
    <w:rsid w:val="00D953EF"/>
    <w:rsid w:val="00DB6D68"/>
    <w:rsid w:val="00DB7A52"/>
    <w:rsid w:val="00DC2C8B"/>
    <w:rsid w:val="00DC40AB"/>
    <w:rsid w:val="00DE7789"/>
    <w:rsid w:val="00DE7AF9"/>
    <w:rsid w:val="00E34706"/>
    <w:rsid w:val="00E42F64"/>
    <w:rsid w:val="00E4366C"/>
    <w:rsid w:val="00E5335D"/>
    <w:rsid w:val="00E55DDB"/>
    <w:rsid w:val="00E66BB5"/>
    <w:rsid w:val="00E94EC6"/>
    <w:rsid w:val="00EB07DC"/>
    <w:rsid w:val="00ED6153"/>
    <w:rsid w:val="00EE0E87"/>
    <w:rsid w:val="00EF0A00"/>
    <w:rsid w:val="00F459B8"/>
    <w:rsid w:val="00F5332B"/>
    <w:rsid w:val="00F665AF"/>
    <w:rsid w:val="00F6718E"/>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iPriority w:val="99"/>
    <w:unhideWhenUsed/>
    <w:rsid w:val="0015280D"/>
    <w:rPr>
      <w:sz w:val="20"/>
    </w:rPr>
  </w:style>
  <w:style w:type="character" w:customStyle="1" w:styleId="FootnoteTextChar">
    <w:name w:val="Footnote Text Char"/>
    <w:basedOn w:val="DefaultParagraphFont"/>
    <w:link w:val="FootnoteText"/>
    <w:uiPriority w:val="99"/>
    <w:rsid w:val="0015280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nhguide/toolkits/help-clinicians-choose-the-right-antibiotic/index.html" TargetMode="External"/><Relationship Id="rId13" Type="http://schemas.openxmlformats.org/officeDocument/2006/relationships/hyperlink" Target="https://www.ahrq.gov/nhguide/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dc.gov/antibiotic-use/core-elements/nursing-homes.html" TargetMode="External"/><Relationship Id="rId17" Type="http://schemas.openxmlformats.org/officeDocument/2006/relationships/hyperlink" Target="https://www.health.state.mn.us/diseases/antibioticresistance/hcp/asp/ltc/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state.mn.us/diseases/antibioticresistance/hcp/asp/ltc/abxtimeou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diff/what-i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nhsn/ltc/cdiff-mrsa/index.html" TargetMode="External"/><Relationship Id="rId23" Type="http://schemas.openxmlformats.org/officeDocument/2006/relationships/footer" Target="footer3.xml"/><Relationship Id="rId10" Type="http://schemas.openxmlformats.org/officeDocument/2006/relationships/hyperlink" Target="https://www.ahrq.gov/nhguide/toolkits/help-clinicians-choose-the-right-antibiotic/toolkit3-develop-implement-antibiogram-program.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ms.gov/files/document/appendix-pp-guidance-surveyor-long-term-care-facilities.pdf" TargetMode="External"/><Relationship Id="rId14" Type="http://schemas.openxmlformats.org/officeDocument/2006/relationships/hyperlink" Target="https://www.cdc.gov/drugresistance/pdf/threats-report/2019-ar-threats-report-508.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Teckla Johnson</cp:lastModifiedBy>
  <cp:revision>8</cp:revision>
  <dcterms:created xsi:type="dcterms:W3CDTF">2022-07-28T18:11:00Z</dcterms:created>
  <dcterms:modified xsi:type="dcterms:W3CDTF">2022-08-31T14:35:00Z</dcterms:modified>
</cp:coreProperties>
</file>