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60FB8EDB">
                <wp:simplePos x="0" y="0"/>
                <wp:positionH relativeFrom="margin">
                  <wp:align>left</wp:align>
                </wp:positionH>
                <wp:positionV relativeFrom="page">
                  <wp:posOffset>914399</wp:posOffset>
                </wp:positionV>
                <wp:extent cx="6048375" cy="3305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BB61B" w14:textId="25D360CB" w:rsidR="00EB07DC" w:rsidRDefault="005405B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Water Management Program Policy</w:t>
                            </w:r>
                            <w:r w:rsidR="0041088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76.25pt;height:26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" filled="f" stroked="f" strokeweight=".5pt">
                <v:textbox>
                  <w:txbxContent>
                    <w:p w14:paraId="460BB61B" w14:textId="25D360CB" w:rsidR="00EB07DC" w:rsidRDefault="005405B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Water Management Program Policy</w:t>
                      </w:r>
                      <w:r w:rsidR="00410880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42118A" w14:textId="77777777" w:rsidR="005405B2" w:rsidRPr="009668BB" w:rsidRDefault="00484844" w:rsidP="005405B2">
      <w:pPr>
        <w:jc w:val="center"/>
        <w:rPr>
          <w:rStyle w:val="WP10"/>
          <w:rFonts w:asciiTheme="minorHAnsi" w:hAnsiTheme="minorHAnsi" w:cstheme="minorHAnsi"/>
          <w:b/>
          <w:color w:val="000000" w:themeColor="text1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70F5" wp14:editId="0E48FAAF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D8B91" w14:textId="77777777"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70F5" id="Text Box 5" o:spid="_x0000_s1027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" filled="f" stroked="f" strokeweight=".5pt">
                <v:textbox>
                  <w:txbxContent>
                    <w:p w14:paraId="437D8B91" w14:textId="77777777"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5405B2" w:rsidRPr="009668BB">
        <w:rPr>
          <w:rStyle w:val="WP10"/>
          <w:rFonts w:asciiTheme="minorHAnsi" w:hAnsiTheme="minorHAnsi" w:cstheme="minorHAnsi"/>
          <w:b/>
          <w:sz w:val="32"/>
          <w:szCs w:val="32"/>
        </w:rPr>
        <w:lastRenderedPageBreak/>
        <w:t>Water Management Program</w:t>
      </w:r>
    </w:p>
    <w:p w14:paraId="4AA7C90D" w14:textId="77777777" w:rsidR="005405B2" w:rsidRPr="009668BB" w:rsidRDefault="005405B2" w:rsidP="005405B2">
      <w:pPr>
        <w:tabs>
          <w:tab w:val="right" w:pos="439"/>
          <w:tab w:val="left" w:pos="660"/>
        </w:tabs>
        <w:suppressAutoHyphens/>
        <w:jc w:val="both"/>
        <w:rPr>
          <w:rStyle w:val="SubHeads"/>
          <w:rFonts w:asciiTheme="minorHAnsi" w:hAnsiTheme="minorHAnsi" w:cstheme="minorHAnsi"/>
        </w:rPr>
      </w:pPr>
    </w:p>
    <w:p w14:paraId="21D8E379" w14:textId="77777777" w:rsidR="005405B2" w:rsidRPr="005405B2" w:rsidRDefault="005405B2" w:rsidP="005405B2">
      <w:pPr>
        <w:tabs>
          <w:tab w:val="right" w:pos="439"/>
          <w:tab w:val="left" w:pos="660"/>
        </w:tabs>
        <w:suppressAutoHyphens/>
        <w:rPr>
          <w:rStyle w:val="SubHeads"/>
          <w:rFonts w:ascii="Calibri" w:hAnsi="Calibri" w:cs="Calibri"/>
          <w:spacing w:val="-2"/>
          <w:sz w:val="24"/>
          <w:szCs w:val="32"/>
        </w:rPr>
      </w:pPr>
      <w:r w:rsidRPr="005405B2">
        <w:rPr>
          <w:rStyle w:val="SubHeads"/>
          <w:rFonts w:ascii="Calibri" w:hAnsi="Calibri" w:cs="Calibri"/>
          <w:caps/>
          <w:spacing w:val="-2"/>
          <w:sz w:val="24"/>
          <w:szCs w:val="32"/>
        </w:rPr>
        <w:t>P</w:t>
      </w:r>
      <w:r w:rsidRPr="005405B2">
        <w:rPr>
          <w:rStyle w:val="SubHeads"/>
          <w:rFonts w:ascii="Calibri" w:hAnsi="Calibri" w:cs="Calibri"/>
          <w:spacing w:val="-2"/>
          <w:sz w:val="24"/>
          <w:szCs w:val="32"/>
        </w:rPr>
        <w:t>olicy</w:t>
      </w:r>
    </w:p>
    <w:p w14:paraId="189B5414" w14:textId="77777777" w:rsidR="005405B2" w:rsidRPr="009668BB" w:rsidRDefault="005405B2" w:rsidP="005405B2">
      <w:pPr>
        <w:pStyle w:val="Default"/>
        <w:rPr>
          <w:rFonts w:asciiTheme="minorHAnsi" w:hAnsiTheme="minorHAnsi" w:cstheme="minorHAnsi"/>
          <w:iCs/>
        </w:rPr>
      </w:pPr>
      <w:r w:rsidRPr="009668BB">
        <w:rPr>
          <w:rFonts w:asciiTheme="minorHAnsi" w:hAnsiTheme="minorHAnsi" w:cstheme="minorHAnsi"/>
          <w:iCs/>
        </w:rPr>
        <w:t xml:space="preserve">It is the policy of this facility to establish and implement a water management program to minimize the risk of </w:t>
      </w:r>
      <w:r w:rsidRPr="009668BB">
        <w:rPr>
          <w:rFonts w:asciiTheme="minorHAnsi" w:hAnsiTheme="minorHAnsi" w:cstheme="minorHAnsi"/>
          <w:i/>
        </w:rPr>
        <w:t xml:space="preserve">Legionella </w:t>
      </w:r>
      <w:r w:rsidRPr="009668BB">
        <w:rPr>
          <w:rFonts w:asciiTheme="minorHAnsi" w:hAnsiTheme="minorHAnsi" w:cstheme="minorHAnsi"/>
          <w:iCs/>
        </w:rPr>
        <w:t xml:space="preserve">and other opportunistic pathogens in building water systems that are based on nationally accepted standards that includes an assessment to identify where Legionella and other opportunistic waterborne pathogens </w:t>
      </w:r>
      <w:proofErr w:type="gramStart"/>
      <w:r w:rsidRPr="009668BB">
        <w:rPr>
          <w:rFonts w:asciiTheme="minorHAnsi" w:hAnsiTheme="minorHAnsi" w:cstheme="minorHAnsi"/>
          <w:iCs/>
        </w:rPr>
        <w:t>are able to</w:t>
      </w:r>
      <w:proofErr w:type="gramEnd"/>
      <w:r w:rsidRPr="009668BB">
        <w:rPr>
          <w:rFonts w:asciiTheme="minorHAnsi" w:hAnsiTheme="minorHAnsi" w:cstheme="minorHAnsi"/>
          <w:iCs/>
        </w:rPr>
        <w:t xml:space="preserve"> grow and spread, measures instituted to prevent growth of opportunistic waterborne pathogens and system to monitor the program.</w:t>
      </w:r>
    </w:p>
    <w:p w14:paraId="19F542CF" w14:textId="77777777" w:rsidR="005405B2" w:rsidRPr="009668BB" w:rsidRDefault="005405B2" w:rsidP="005405B2">
      <w:pPr>
        <w:pStyle w:val="Default"/>
        <w:rPr>
          <w:rFonts w:asciiTheme="minorHAnsi" w:hAnsiTheme="minorHAnsi" w:cstheme="minorHAnsi"/>
          <w:iCs/>
        </w:rPr>
      </w:pPr>
    </w:p>
    <w:p w14:paraId="7110B3DF" w14:textId="77777777" w:rsidR="005405B2" w:rsidRPr="009668BB" w:rsidRDefault="005405B2" w:rsidP="005405B2">
      <w:pPr>
        <w:pStyle w:val="Default"/>
        <w:rPr>
          <w:rFonts w:asciiTheme="minorHAnsi" w:hAnsiTheme="minorHAnsi" w:cstheme="minorHAnsi"/>
          <w:b/>
          <w:bCs/>
          <w:iCs/>
        </w:rPr>
      </w:pPr>
      <w:r w:rsidRPr="009668BB">
        <w:rPr>
          <w:rFonts w:asciiTheme="minorHAnsi" w:hAnsiTheme="minorHAnsi" w:cstheme="minorHAnsi"/>
          <w:b/>
          <w:bCs/>
          <w:iCs/>
        </w:rPr>
        <w:t>Definition</w:t>
      </w:r>
    </w:p>
    <w:p w14:paraId="28D16674" w14:textId="77777777" w:rsidR="005405B2" w:rsidRPr="009668BB" w:rsidRDefault="005405B2" w:rsidP="005405B2">
      <w:pPr>
        <w:pStyle w:val="Default"/>
        <w:rPr>
          <w:rFonts w:asciiTheme="minorHAnsi" w:hAnsiTheme="minorHAnsi" w:cstheme="minorHAnsi"/>
          <w:iCs/>
          <w:vertAlign w:val="superscript"/>
        </w:rPr>
      </w:pPr>
      <w:r w:rsidRPr="009668BB">
        <w:rPr>
          <w:rFonts w:asciiTheme="minorHAnsi" w:hAnsiTheme="minorHAnsi" w:cstheme="minorHAnsi"/>
        </w:rPr>
        <w:t>“</w:t>
      </w:r>
      <w:r w:rsidRPr="009668BB">
        <w:rPr>
          <w:rFonts w:asciiTheme="minorHAnsi" w:hAnsiTheme="minorHAnsi" w:cstheme="minorHAnsi"/>
          <w:b/>
          <w:bCs/>
          <w:i/>
          <w:iCs/>
        </w:rPr>
        <w:t>Legionellosis</w:t>
      </w:r>
      <w:r w:rsidRPr="009668BB">
        <w:rPr>
          <w:rFonts w:asciiTheme="minorHAnsi" w:hAnsiTheme="minorHAnsi" w:cstheme="minorHAnsi"/>
        </w:rPr>
        <w:t xml:space="preserve">” refers to two clinically and epidemiologically distinct illnesses: </w:t>
      </w:r>
      <w:r w:rsidRPr="009668BB">
        <w:rPr>
          <w:rFonts w:asciiTheme="minorHAnsi" w:hAnsiTheme="minorHAnsi" w:cstheme="minorHAnsi"/>
          <w:i/>
          <w:iCs/>
        </w:rPr>
        <w:t>Legionnaires</w:t>
      </w:r>
      <w:r w:rsidRPr="009668BB">
        <w:rPr>
          <w:rFonts w:asciiTheme="minorHAnsi" w:hAnsiTheme="minorHAnsi" w:cstheme="minorHAnsi"/>
        </w:rPr>
        <w:t>’ disease, which is typically characterized by fever, myalgia, cough, and clinical or radiographic pneumonia; and Pontiac fever, a milder illness without pneumonia (e.g., fever and muscle aches).</w:t>
      </w:r>
      <w:r w:rsidRPr="009668BB">
        <w:rPr>
          <w:rFonts w:asciiTheme="minorHAnsi" w:hAnsiTheme="minorHAnsi" w:cstheme="minorHAnsi"/>
          <w:i/>
          <w:iCs/>
        </w:rPr>
        <w:t xml:space="preserve"> Legionellosis</w:t>
      </w:r>
      <w:r w:rsidRPr="009668BB">
        <w:rPr>
          <w:rFonts w:asciiTheme="minorHAnsi" w:hAnsiTheme="minorHAnsi" w:cstheme="minorHAnsi"/>
        </w:rPr>
        <w:t xml:space="preserve"> is caused by </w:t>
      </w:r>
      <w:r w:rsidRPr="009668BB">
        <w:rPr>
          <w:rFonts w:asciiTheme="minorHAnsi" w:hAnsiTheme="minorHAnsi" w:cstheme="minorHAnsi"/>
          <w:i/>
          <w:iCs/>
        </w:rPr>
        <w:t>Legionella</w:t>
      </w:r>
      <w:r w:rsidRPr="009668BB">
        <w:rPr>
          <w:rFonts w:asciiTheme="minorHAnsi" w:hAnsiTheme="minorHAnsi" w:cstheme="minorHAnsi"/>
        </w:rPr>
        <w:t xml:space="preserve"> bacteria.”</w:t>
      </w:r>
      <w:r w:rsidRPr="009668BB">
        <w:rPr>
          <w:rFonts w:asciiTheme="minorHAnsi" w:hAnsiTheme="minorHAnsi" w:cstheme="minorHAnsi"/>
          <w:vertAlign w:val="superscript"/>
        </w:rPr>
        <w:t>1</w:t>
      </w:r>
    </w:p>
    <w:p w14:paraId="04542E1C" w14:textId="77777777" w:rsidR="005405B2" w:rsidRPr="009668BB" w:rsidRDefault="005405B2" w:rsidP="005405B2">
      <w:pPr>
        <w:rPr>
          <w:rFonts w:asciiTheme="minorHAnsi" w:hAnsiTheme="minorHAnsi" w:cstheme="minorHAnsi"/>
          <w:b/>
          <w:bCs/>
        </w:rPr>
      </w:pPr>
    </w:p>
    <w:p w14:paraId="2C79A3F7" w14:textId="367EDF88" w:rsidR="005405B2" w:rsidRPr="009668BB" w:rsidRDefault="005405B2" w:rsidP="005405B2">
      <w:pPr>
        <w:rPr>
          <w:rFonts w:asciiTheme="minorHAnsi" w:hAnsiTheme="minorHAnsi" w:cstheme="minorHAnsi"/>
        </w:rPr>
      </w:pPr>
      <w:r w:rsidRPr="009668BB">
        <w:rPr>
          <w:rFonts w:asciiTheme="minorHAnsi" w:hAnsiTheme="minorHAnsi" w:cstheme="minorHAnsi"/>
          <w:b/>
          <w:bCs/>
        </w:rPr>
        <w:t>NOTE</w:t>
      </w:r>
      <w:r w:rsidRPr="009668BB">
        <w:rPr>
          <w:rFonts w:asciiTheme="minorHAnsi" w:hAnsiTheme="minorHAnsi" w:cstheme="minorHAnsi"/>
        </w:rPr>
        <w:t>:  Facilities can utilize the following resources to develop and implement a water management program</w:t>
      </w:r>
      <w:r w:rsidR="00410880">
        <w:rPr>
          <w:rFonts w:asciiTheme="minorHAnsi" w:hAnsiTheme="minorHAnsi" w:cstheme="minorHAnsi"/>
        </w:rPr>
        <w:t xml:space="preserve"> </w:t>
      </w:r>
      <w:proofErr w:type="gramStart"/>
      <w:r w:rsidR="00410880">
        <w:rPr>
          <w:rFonts w:asciiTheme="minorHAnsi" w:hAnsiTheme="minorHAnsi" w:cstheme="minorHAnsi"/>
        </w:rPr>
        <w:t>in order to</w:t>
      </w:r>
      <w:proofErr w:type="gramEnd"/>
      <w:r w:rsidR="00410880">
        <w:rPr>
          <w:rFonts w:asciiTheme="minorHAnsi" w:hAnsiTheme="minorHAnsi" w:cstheme="minorHAnsi"/>
        </w:rPr>
        <w:t xml:space="preserve"> develop facility specific procedures</w:t>
      </w:r>
      <w:r w:rsidRPr="009668BB">
        <w:rPr>
          <w:rFonts w:asciiTheme="minorHAnsi" w:hAnsiTheme="minorHAnsi" w:cstheme="minorHAnsi"/>
        </w:rPr>
        <w:t>:</w:t>
      </w:r>
    </w:p>
    <w:p w14:paraId="5194129F" w14:textId="77777777" w:rsidR="005405B2" w:rsidRPr="009668BB" w:rsidRDefault="005405B2" w:rsidP="005405B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9668BB">
        <w:rPr>
          <w:rFonts w:asciiTheme="minorHAnsi" w:hAnsiTheme="minorHAnsi" w:cstheme="minorHAnsi"/>
        </w:rPr>
        <w:t xml:space="preserve">“The ASHRAE Standard 188- Legionellosis: Risk Management for Building Water Systems” </w:t>
      </w:r>
      <w:hyperlink r:id="rId8" w:history="1">
        <w:r w:rsidRPr="009668BB">
          <w:rPr>
            <w:rStyle w:val="Hyperlink"/>
            <w:rFonts w:asciiTheme="minorHAnsi" w:hAnsiTheme="minorHAnsi" w:cstheme="minorHAnsi"/>
          </w:rPr>
          <w:t>https://www.ashrae.org</w:t>
        </w:r>
      </w:hyperlink>
      <w:r w:rsidRPr="009668BB">
        <w:rPr>
          <w:rFonts w:asciiTheme="minorHAnsi" w:hAnsiTheme="minorHAnsi" w:cstheme="minorHAnsi"/>
        </w:rPr>
        <w:t xml:space="preserve">; </w:t>
      </w:r>
    </w:p>
    <w:p w14:paraId="389B3A13" w14:textId="77777777" w:rsidR="005405B2" w:rsidRPr="009668BB" w:rsidRDefault="005405B2" w:rsidP="005405B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9668BB">
        <w:rPr>
          <w:rFonts w:asciiTheme="minorHAnsi" w:hAnsiTheme="minorHAnsi" w:cstheme="minorHAnsi"/>
        </w:rPr>
        <w:t xml:space="preserve">The CDC toolkit to facilitate implementation of the ASHRAE Standard titled “Developing a Water Management Program to Reduce Legionella Growth &amp; Spread in Buildings: A Practical Guide to Implementing Industry Standards” https://www.cdc.gov/legionella/wmp/toolkit/index.html; and </w:t>
      </w:r>
    </w:p>
    <w:p w14:paraId="360FBC5A" w14:textId="77777777" w:rsidR="005405B2" w:rsidRPr="009668BB" w:rsidRDefault="005405B2" w:rsidP="005405B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9668BB">
        <w:rPr>
          <w:rFonts w:asciiTheme="minorHAnsi" w:hAnsiTheme="minorHAnsi" w:cstheme="minorHAnsi"/>
        </w:rPr>
        <w:t>The EPA's “Technologies for Legionella Control in Premise Plumbing Systems: Scientific Literature Review” is available at https://www.epa.gov/ground-waterand-drinking-water/technologies-legionella-control-premise-plumbing-systems.”</w:t>
      </w:r>
      <w:r w:rsidRPr="009668BB">
        <w:rPr>
          <w:rFonts w:asciiTheme="minorHAnsi" w:hAnsiTheme="minorHAnsi" w:cstheme="minorHAnsi"/>
          <w:vertAlign w:val="superscript"/>
        </w:rPr>
        <w:t>1</w:t>
      </w:r>
    </w:p>
    <w:p w14:paraId="14B98D2F" w14:textId="32219C41" w:rsidR="005405B2" w:rsidRDefault="005405B2" w:rsidP="005405B2">
      <w:pPr>
        <w:rPr>
          <w:rFonts w:asciiTheme="minorHAnsi" w:hAnsiTheme="minorHAnsi" w:cstheme="minorHAnsi"/>
          <w:szCs w:val="24"/>
        </w:rPr>
      </w:pPr>
    </w:p>
    <w:p w14:paraId="4E7436CB" w14:textId="77777777" w:rsidR="005405B2" w:rsidRPr="009668BB" w:rsidRDefault="005405B2" w:rsidP="005405B2">
      <w:pPr>
        <w:rPr>
          <w:rFonts w:asciiTheme="minorHAnsi" w:hAnsiTheme="minorHAnsi" w:cstheme="minorHAnsi"/>
          <w:szCs w:val="24"/>
        </w:rPr>
      </w:pPr>
    </w:p>
    <w:p w14:paraId="2D69F84D" w14:textId="77777777" w:rsidR="005405B2" w:rsidRPr="009668BB" w:rsidRDefault="005405B2" w:rsidP="005405B2">
      <w:pPr>
        <w:rPr>
          <w:rFonts w:asciiTheme="minorHAnsi" w:hAnsiTheme="minorHAnsi" w:cstheme="minorHAnsi"/>
          <w:b/>
          <w:sz w:val="28"/>
          <w:szCs w:val="28"/>
        </w:rPr>
      </w:pPr>
    </w:p>
    <w:p w14:paraId="55676C9A" w14:textId="77777777" w:rsidR="005405B2" w:rsidRPr="009668BB" w:rsidRDefault="005405B2" w:rsidP="005405B2">
      <w:pPr>
        <w:rPr>
          <w:rFonts w:asciiTheme="minorHAnsi" w:hAnsiTheme="minorHAnsi" w:cstheme="minorHAnsi"/>
          <w:b/>
          <w:szCs w:val="24"/>
        </w:rPr>
      </w:pPr>
      <w:r w:rsidRPr="009668BB">
        <w:rPr>
          <w:rFonts w:asciiTheme="minorHAnsi" w:hAnsiTheme="minorHAnsi" w:cstheme="minorHAnsi"/>
          <w:b/>
          <w:szCs w:val="24"/>
        </w:rPr>
        <w:t>Reference</w:t>
      </w:r>
    </w:p>
    <w:p w14:paraId="38D53E83" w14:textId="7BBE267C" w:rsidR="0015280D" w:rsidRPr="00FD6529" w:rsidRDefault="005405B2" w:rsidP="00410880">
      <w:pPr>
        <w:rPr>
          <w:rFonts w:asciiTheme="minorHAnsi" w:hAnsiTheme="minorHAnsi" w:cstheme="minorHAnsi"/>
          <w:szCs w:val="24"/>
        </w:rPr>
      </w:pPr>
      <w:r w:rsidRPr="009668BB">
        <w:rPr>
          <w:rFonts w:asciiTheme="minorHAnsi" w:eastAsia="MS Mincho" w:hAnsiTheme="minorHAnsi" w:cstheme="minorHAnsi"/>
          <w:sz w:val="22"/>
          <w:szCs w:val="22"/>
          <w:vertAlign w:val="superscript"/>
        </w:rPr>
        <w:t>1</w:t>
      </w:r>
      <w:r w:rsidRPr="00410880">
        <w:rPr>
          <w:rFonts w:asciiTheme="minorHAnsi" w:eastAsia="MS Mincho" w:hAnsiTheme="minorHAnsi" w:cstheme="minorHAnsi"/>
          <w:szCs w:val="24"/>
        </w:rPr>
        <w:t xml:space="preserve">Centers for Medicare &amp; Medicaid Services State Operations Manual, Appendix PP – Guidance to Surveyors for Long Term Care Facilities (Rev. 173, 11-22-17) Advance Copy, 2022:  </w:t>
      </w:r>
      <w:hyperlink r:id="rId9" w:history="1">
        <w:r w:rsidRPr="00410880">
          <w:rPr>
            <w:rStyle w:val="Hyperlink"/>
            <w:rFonts w:asciiTheme="minorHAnsi" w:hAnsiTheme="minorHAnsi" w:cstheme="minorHAnsi"/>
            <w:szCs w:val="24"/>
          </w:rPr>
          <w:t>https://www.cms.gov/files/document/appendix-pp-guidance-surveyor-long-term-care-facilities.pdf</w:t>
        </w:r>
      </w:hyperlink>
    </w:p>
    <w:p w14:paraId="36B0DE2A" w14:textId="67CC059F" w:rsidR="00987103" w:rsidRDefault="00987103" w:rsidP="0015280D">
      <w:pPr>
        <w:pStyle w:val="NoSpacing"/>
        <w:jc w:val="center"/>
        <w:rPr>
          <w:rFonts w:ascii="Calibri" w:hAnsi="Calibri" w:cs="Calibri"/>
          <w:szCs w:val="24"/>
        </w:rPr>
      </w:pPr>
    </w:p>
    <w:sectPr w:rsidR="00987103" w:rsidSect="00DE7A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A7BE" w14:textId="77777777" w:rsidR="00C528B9" w:rsidRDefault="00C528B9" w:rsidP="00FE158D">
      <w:r>
        <w:separator/>
      </w:r>
    </w:p>
  </w:endnote>
  <w:endnote w:type="continuationSeparator" w:id="0">
    <w:p w14:paraId="1FA3D6D5" w14:textId="77777777" w:rsidR="00C528B9" w:rsidRDefault="00C528B9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A5DC" w14:textId="77777777" w:rsidR="005405B2" w:rsidRDefault="00540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3BEC8B80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  <w:r w:rsidR="005405B2">
      <w:rPr>
        <w:rFonts w:ascii="Calibri" w:eastAsia="Calibri" w:hAnsi="Calibri"/>
        <w:sz w:val="16"/>
        <w:szCs w:val="16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F89E" w14:textId="77777777" w:rsidR="005405B2" w:rsidRDefault="00540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39CE" w14:textId="77777777" w:rsidR="00C528B9" w:rsidRDefault="00C528B9" w:rsidP="00FE158D">
      <w:r>
        <w:separator/>
      </w:r>
    </w:p>
  </w:footnote>
  <w:footnote w:type="continuationSeparator" w:id="0">
    <w:p w14:paraId="5CDC5BD3" w14:textId="77777777" w:rsidR="00C528B9" w:rsidRDefault="00C528B9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9C30" w14:textId="77777777" w:rsidR="005405B2" w:rsidRDefault="00540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E13E" w14:textId="44E03346" w:rsidR="006B2ED2" w:rsidRDefault="006B2ED2" w:rsidP="009E178C">
    <w:pPr>
      <w:pStyle w:val="Header"/>
      <w:tabs>
        <w:tab w:val="clear" w:pos="4680"/>
        <w:tab w:val="clear" w:pos="9360"/>
        <w:tab w:val="left" w:pos="2115"/>
      </w:tabs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78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047415"/>
    <w:multiLevelType w:val="hybridMultilevel"/>
    <w:tmpl w:val="32928F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039"/>
    <w:multiLevelType w:val="hybridMultilevel"/>
    <w:tmpl w:val="1C7C0D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420E7"/>
    <w:multiLevelType w:val="hybridMultilevel"/>
    <w:tmpl w:val="4D80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160F6"/>
    <w:multiLevelType w:val="hybridMultilevel"/>
    <w:tmpl w:val="3620F4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1673DE"/>
    <w:multiLevelType w:val="hybridMultilevel"/>
    <w:tmpl w:val="C770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12272"/>
    <w:multiLevelType w:val="hybridMultilevel"/>
    <w:tmpl w:val="31C0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4127"/>
    <w:multiLevelType w:val="hybridMultilevel"/>
    <w:tmpl w:val="5B06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66B1"/>
    <w:multiLevelType w:val="hybridMultilevel"/>
    <w:tmpl w:val="4876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88438">
    <w:abstractNumId w:val="3"/>
  </w:num>
  <w:num w:numId="2" w16cid:durableId="288244667">
    <w:abstractNumId w:val="6"/>
  </w:num>
  <w:num w:numId="3" w16cid:durableId="567149931">
    <w:abstractNumId w:val="7"/>
  </w:num>
  <w:num w:numId="4" w16cid:durableId="186254777">
    <w:abstractNumId w:val="8"/>
  </w:num>
  <w:num w:numId="5" w16cid:durableId="1272661030">
    <w:abstractNumId w:val="4"/>
  </w:num>
  <w:num w:numId="6" w16cid:durableId="383796251">
    <w:abstractNumId w:val="1"/>
  </w:num>
  <w:num w:numId="7" w16cid:durableId="275798641">
    <w:abstractNumId w:val="2"/>
  </w:num>
  <w:num w:numId="8" w16cid:durableId="21778536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23790"/>
    <w:rsid w:val="000278C1"/>
    <w:rsid w:val="00032BFD"/>
    <w:rsid w:val="00066D50"/>
    <w:rsid w:val="000718F6"/>
    <w:rsid w:val="00076748"/>
    <w:rsid w:val="000B0803"/>
    <w:rsid w:val="000D380A"/>
    <w:rsid w:val="000D5B62"/>
    <w:rsid w:val="000E228A"/>
    <w:rsid w:val="000F7E90"/>
    <w:rsid w:val="00102A96"/>
    <w:rsid w:val="001123A5"/>
    <w:rsid w:val="001139B8"/>
    <w:rsid w:val="0012309D"/>
    <w:rsid w:val="00144BE0"/>
    <w:rsid w:val="0015280D"/>
    <w:rsid w:val="001605BA"/>
    <w:rsid w:val="00170AD2"/>
    <w:rsid w:val="00185739"/>
    <w:rsid w:val="0019504D"/>
    <w:rsid w:val="001C7F00"/>
    <w:rsid w:val="002103E5"/>
    <w:rsid w:val="00234C60"/>
    <w:rsid w:val="002376A2"/>
    <w:rsid w:val="0025697B"/>
    <w:rsid w:val="002B10A5"/>
    <w:rsid w:val="002C5F29"/>
    <w:rsid w:val="002D68EE"/>
    <w:rsid w:val="002E712F"/>
    <w:rsid w:val="002F2B8A"/>
    <w:rsid w:val="003011C7"/>
    <w:rsid w:val="00301AA8"/>
    <w:rsid w:val="0031633A"/>
    <w:rsid w:val="00317996"/>
    <w:rsid w:val="0033490A"/>
    <w:rsid w:val="00372DF7"/>
    <w:rsid w:val="003734C7"/>
    <w:rsid w:val="00373CF0"/>
    <w:rsid w:val="003A3E8D"/>
    <w:rsid w:val="003A498A"/>
    <w:rsid w:val="003B0882"/>
    <w:rsid w:val="003B0939"/>
    <w:rsid w:val="003F0C77"/>
    <w:rsid w:val="00402197"/>
    <w:rsid w:val="00410880"/>
    <w:rsid w:val="00416F96"/>
    <w:rsid w:val="004613FA"/>
    <w:rsid w:val="00474553"/>
    <w:rsid w:val="00484844"/>
    <w:rsid w:val="00534CAA"/>
    <w:rsid w:val="0053732B"/>
    <w:rsid w:val="005405B2"/>
    <w:rsid w:val="005438CB"/>
    <w:rsid w:val="005817E5"/>
    <w:rsid w:val="005868A0"/>
    <w:rsid w:val="00593E4B"/>
    <w:rsid w:val="005B2958"/>
    <w:rsid w:val="005D6B44"/>
    <w:rsid w:val="005F036A"/>
    <w:rsid w:val="006030A0"/>
    <w:rsid w:val="006034EC"/>
    <w:rsid w:val="00603AC0"/>
    <w:rsid w:val="00605605"/>
    <w:rsid w:val="00610027"/>
    <w:rsid w:val="006338B1"/>
    <w:rsid w:val="0066706B"/>
    <w:rsid w:val="006A3CC2"/>
    <w:rsid w:val="006B2ED2"/>
    <w:rsid w:val="006C7A0C"/>
    <w:rsid w:val="006F5F72"/>
    <w:rsid w:val="007251EF"/>
    <w:rsid w:val="00726DBD"/>
    <w:rsid w:val="00746482"/>
    <w:rsid w:val="00783084"/>
    <w:rsid w:val="007A61F1"/>
    <w:rsid w:val="007C5E7E"/>
    <w:rsid w:val="007F26C3"/>
    <w:rsid w:val="00805910"/>
    <w:rsid w:val="008259FB"/>
    <w:rsid w:val="008435F2"/>
    <w:rsid w:val="0084504B"/>
    <w:rsid w:val="00863B1E"/>
    <w:rsid w:val="00883AD3"/>
    <w:rsid w:val="00885541"/>
    <w:rsid w:val="008B40BC"/>
    <w:rsid w:val="008C28BD"/>
    <w:rsid w:val="008D143F"/>
    <w:rsid w:val="008E7224"/>
    <w:rsid w:val="008E7572"/>
    <w:rsid w:val="008F1ABA"/>
    <w:rsid w:val="009073EC"/>
    <w:rsid w:val="00910181"/>
    <w:rsid w:val="009478FB"/>
    <w:rsid w:val="00951B77"/>
    <w:rsid w:val="009854C3"/>
    <w:rsid w:val="00987103"/>
    <w:rsid w:val="009B7479"/>
    <w:rsid w:val="009C106D"/>
    <w:rsid w:val="009C583E"/>
    <w:rsid w:val="009E178C"/>
    <w:rsid w:val="009F0488"/>
    <w:rsid w:val="00A039B0"/>
    <w:rsid w:val="00A25232"/>
    <w:rsid w:val="00A332E5"/>
    <w:rsid w:val="00A723F9"/>
    <w:rsid w:val="00A86993"/>
    <w:rsid w:val="00A9460A"/>
    <w:rsid w:val="00AA3D15"/>
    <w:rsid w:val="00AA7C93"/>
    <w:rsid w:val="00AB677E"/>
    <w:rsid w:val="00AC0FC3"/>
    <w:rsid w:val="00B019EA"/>
    <w:rsid w:val="00B24FB4"/>
    <w:rsid w:val="00BA4702"/>
    <w:rsid w:val="00BB507F"/>
    <w:rsid w:val="00BC79D8"/>
    <w:rsid w:val="00BF2FC4"/>
    <w:rsid w:val="00C0102E"/>
    <w:rsid w:val="00C170A5"/>
    <w:rsid w:val="00C47D16"/>
    <w:rsid w:val="00C528B9"/>
    <w:rsid w:val="00C71D53"/>
    <w:rsid w:val="00C82867"/>
    <w:rsid w:val="00C83618"/>
    <w:rsid w:val="00CC2821"/>
    <w:rsid w:val="00CD1D73"/>
    <w:rsid w:val="00CE786A"/>
    <w:rsid w:val="00CF74A2"/>
    <w:rsid w:val="00D2277C"/>
    <w:rsid w:val="00D5661D"/>
    <w:rsid w:val="00D71900"/>
    <w:rsid w:val="00D7718E"/>
    <w:rsid w:val="00D86FCB"/>
    <w:rsid w:val="00D953EF"/>
    <w:rsid w:val="00DB6D68"/>
    <w:rsid w:val="00DB7A52"/>
    <w:rsid w:val="00DC2C8B"/>
    <w:rsid w:val="00DC40AB"/>
    <w:rsid w:val="00DE7789"/>
    <w:rsid w:val="00DE7AF9"/>
    <w:rsid w:val="00E34706"/>
    <w:rsid w:val="00E42F64"/>
    <w:rsid w:val="00E4366C"/>
    <w:rsid w:val="00E5335D"/>
    <w:rsid w:val="00E55DDB"/>
    <w:rsid w:val="00E66BB5"/>
    <w:rsid w:val="00E94EC6"/>
    <w:rsid w:val="00E959A5"/>
    <w:rsid w:val="00EB07DC"/>
    <w:rsid w:val="00ED6153"/>
    <w:rsid w:val="00EE0E87"/>
    <w:rsid w:val="00EF0A00"/>
    <w:rsid w:val="00F5332B"/>
    <w:rsid w:val="00F665AF"/>
    <w:rsid w:val="00F6718E"/>
    <w:rsid w:val="00FA2473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39"/>
    <w:rsid w:val="00D9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2C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04B"/>
    <w:rPr>
      <w:color w:val="954F72" w:themeColor="followedHyperlink"/>
      <w:u w:val="single"/>
    </w:rPr>
  </w:style>
  <w:style w:type="character" w:customStyle="1" w:styleId="SubHeads">
    <w:name w:val="Sub Heads"/>
    <w:rsid w:val="0015280D"/>
    <w:rPr>
      <w:rFonts w:ascii="Arial" w:hAnsi="Arial"/>
      <w:b/>
      <w:noProof w:val="0"/>
      <w:sz w:val="20"/>
      <w:lang w:val="en-US"/>
    </w:rPr>
  </w:style>
  <w:style w:type="character" w:customStyle="1" w:styleId="WP10">
    <w:name w:val="(WP)10"/>
    <w:rsid w:val="0015280D"/>
    <w:rPr>
      <w:rFonts w:ascii="Courier New" w:hAnsi="Courier New"/>
      <w:noProof w:val="0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5280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280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s.gov/files/document/appendix-pp-guidance-surveyor-long-term-care-facilitie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1770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4</cp:revision>
  <dcterms:created xsi:type="dcterms:W3CDTF">2022-07-28T18:14:00Z</dcterms:created>
  <dcterms:modified xsi:type="dcterms:W3CDTF">2022-08-15T19:43:00Z</dcterms:modified>
</cp:coreProperties>
</file>