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02920C0F">
                <wp:simplePos x="0" y="0"/>
                <wp:positionH relativeFrom="margin">
                  <wp:posOffset>-542925</wp:posOffset>
                </wp:positionH>
                <wp:positionV relativeFrom="page">
                  <wp:posOffset>914400</wp:posOffset>
                </wp:positionV>
                <wp:extent cx="7191375"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7191375"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4C07C20B" w:rsidR="00301AA8" w:rsidRPr="00BF1EB5" w:rsidRDefault="00B95BE9">
                            <w:pPr>
                              <w:rPr>
                                <w:rFonts w:ascii="Calibri" w:hAnsi="Calibri"/>
                                <w:b/>
                                <w:color w:val="FFFFFF" w:themeColor="background1"/>
                                <w:sz w:val="72"/>
                                <w14:textFill>
                                  <w14:noFill/>
                                </w14:textFill>
                              </w:rPr>
                            </w:pPr>
                            <w:r>
                              <w:rPr>
                                <w:rFonts w:ascii="Calibri" w:hAnsi="Calibri"/>
                                <w:b/>
                                <w:color w:val="FFFFFF" w:themeColor="background1"/>
                                <w:sz w:val="72"/>
                              </w:rPr>
                              <w:t xml:space="preserve">Caring for </w:t>
                            </w:r>
                            <w:r w:rsidR="003E2EB0">
                              <w:rPr>
                                <w:rFonts w:ascii="Calibri" w:hAnsi="Calibri"/>
                                <w:b/>
                                <w:color w:val="FFFFFF" w:themeColor="background1"/>
                                <w:sz w:val="72"/>
                              </w:rPr>
                              <w:t xml:space="preserve">the </w:t>
                            </w:r>
                            <w:r>
                              <w:rPr>
                                <w:rFonts w:ascii="Calibri" w:hAnsi="Calibri"/>
                                <w:b/>
                                <w:color w:val="FFFFFF" w:themeColor="background1"/>
                                <w:sz w:val="72"/>
                              </w:rPr>
                              <w:t>Resident</w:t>
                            </w:r>
                            <w:r w:rsidR="00B534FF">
                              <w:rPr>
                                <w:rFonts w:ascii="Calibri" w:hAnsi="Calibri"/>
                                <w:b/>
                                <w:color w:val="FFFFFF" w:themeColor="background1"/>
                                <w:sz w:val="72"/>
                              </w:rPr>
                              <w:t xml:space="preserve"> </w:t>
                            </w:r>
                            <w:r>
                              <w:rPr>
                                <w:rFonts w:ascii="Calibri" w:hAnsi="Calibri"/>
                                <w:b/>
                                <w:color w:val="FFFFFF" w:themeColor="background1"/>
                                <w:sz w:val="72"/>
                              </w:rPr>
                              <w:t xml:space="preserve">Environment </w:t>
                            </w:r>
                            <w:r w:rsidR="00AD3219">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2.75pt;margin-top:1in;width:566.25pt;height:8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gbgAIAAGMFAAAOAAAAZHJzL2Uyb0RvYy54bWysVEtv2zAMvg/YfxB0Xx3n0bRBnCJL0WFA&#10;0BZLh54VWWqMSaImKbGzXz9KttOg26XDLrZEfqTIj4/5TaMVOQjnKzAFzS8GlAjDoazMS0G/P919&#10;uqLEB2ZKpsCIgh6FpzeLjx/mtZ2JIexAlcIRdGL8rLYF3YVgZ1nm+U5o5i/ACoNKCU6zgFf3kpWO&#10;1ehdq2w4GFxmNbjSOuDCe5Tetkq6SP6lFDw8SOlFIKqgGFtIX5e+2/jNFnM2e3HM7irehcH+IQrN&#10;KoOPnlzdssDI3lV/uNIVd+BBhgsOOgMpKy5SDphNPniTzWbHrEi5IDnenmjy/88tvz88OlKVBR1R&#10;YpjGEj2JJpDP0JBRZKe2foagjUVYaFCMVe7lHoUx6UY6Hf+YDkE98nw8cRudcRRO8+t8NJ1QwlGX&#10;56PJ6Cqxn72aW+fDFwGaxENBHRYvccoOax8wFIT2kPiagbtKqVRAZUhd0MvRZJAMThq0UCZiRWqF&#10;zk1MqQ09ncJRiYhR5puQSEXKIApSE4qVcuTAsH0Y58KElHzyi+iIkhjEeww7/GtU7zFu8+hfBhNO&#10;xroy4FL2b8Iuf/QhyxaPRJ7lHY+h2TZdqbdQHrHSDtpJ8ZbfVViNNfPhkTkcDSwujnt4wI9UgKxD&#10;d6JkB+7X3+QRjx2LWkpqHLWC+p975gQl6qvBXr7Ox+M4m+kynkyHeHHnmu25xuz1CrAcOS4Wy9Mx&#10;4oPqj9KBfsatsIyvoooZjm8XNPTHVWgXAG4VLpbLBMJptCyszcby6DpWJ/baU/PMnO0aMmAv30M/&#10;lGz2pi9bbLQ0sNwHkFVq2khwy2pHPE5y6uVu68RVcX5PqNfduPgNAAD//wMAUEsDBBQABgAIAAAA&#10;IQAfkBvO4gAAAAwBAAAPAAAAZHJzL2Rvd25yZXYueG1sTI9BT4NAEIXvJv6HzZh4axcRlCBL05A0&#10;JkYPrb14G9gpENldZLct+uudnvQ2L+/Lm/eK1WwGcaLJ984quFtGIMg2Tve2VbB/3ywyED6g1Tg4&#10;Swq+ycOqvL4qMNfubLd02oVWcIj1OSroQhhzKX3TkUG/dCNZ9g5uMhhYTq3UE5453AwyjqIHabC3&#10;/KHDkaqOms/d0Sh4qTZvuK1jk/0M1fPrYT1+7T9SpW5v5vUTiEBz+IPhUp+rQ8mdane02otBwSJL&#10;U0bZSBIedSGi5JGvWsF9HGcgy0L+H1H+AgAA//8DAFBLAQItABQABgAIAAAAIQC2gziS/gAAAOEB&#10;AAATAAAAAAAAAAAAAAAAAAAAAABbQ29udGVudF9UeXBlc10ueG1sUEsBAi0AFAAGAAgAAAAhADj9&#10;If/WAAAAlAEAAAsAAAAAAAAAAAAAAAAALwEAAF9yZWxzLy5yZWxzUEsBAi0AFAAGAAgAAAAhAFdI&#10;mBuAAgAAYwUAAA4AAAAAAAAAAAAAAAAALgIAAGRycy9lMm9Eb2MueG1sUEsBAi0AFAAGAAgAAAAh&#10;AB+QG87iAAAADAEAAA8AAAAAAAAAAAAAAAAA2gQAAGRycy9kb3ducmV2LnhtbFBLBQYAAAAABAAE&#10;APMAAADpBQAAAAA=&#10;" filled="f" stroked="f" strokeweight=".5pt">
                <v:textbox>
                  <w:txbxContent>
                    <w:p w14:paraId="6D9C8B63" w14:textId="4C07C20B" w:rsidR="00301AA8" w:rsidRPr="00BF1EB5" w:rsidRDefault="00B95BE9">
                      <w:pPr>
                        <w:rPr>
                          <w:rFonts w:ascii="Calibri" w:hAnsi="Calibri"/>
                          <w:b/>
                          <w:color w:val="FFFFFF" w:themeColor="background1"/>
                          <w:sz w:val="72"/>
                          <w14:textFill>
                            <w14:noFill/>
                          </w14:textFill>
                        </w:rPr>
                      </w:pPr>
                      <w:r>
                        <w:rPr>
                          <w:rFonts w:ascii="Calibri" w:hAnsi="Calibri"/>
                          <w:b/>
                          <w:color w:val="FFFFFF" w:themeColor="background1"/>
                          <w:sz w:val="72"/>
                        </w:rPr>
                        <w:t xml:space="preserve">Caring for </w:t>
                      </w:r>
                      <w:r w:rsidR="003E2EB0">
                        <w:rPr>
                          <w:rFonts w:ascii="Calibri" w:hAnsi="Calibri"/>
                          <w:b/>
                          <w:color w:val="FFFFFF" w:themeColor="background1"/>
                          <w:sz w:val="72"/>
                        </w:rPr>
                        <w:t xml:space="preserve">the </w:t>
                      </w:r>
                      <w:r>
                        <w:rPr>
                          <w:rFonts w:ascii="Calibri" w:hAnsi="Calibri"/>
                          <w:b/>
                          <w:color w:val="FFFFFF" w:themeColor="background1"/>
                          <w:sz w:val="72"/>
                        </w:rPr>
                        <w:t>Resident</w:t>
                      </w:r>
                      <w:r w:rsidR="00B534FF">
                        <w:rPr>
                          <w:rFonts w:ascii="Calibri" w:hAnsi="Calibri"/>
                          <w:b/>
                          <w:color w:val="FFFFFF" w:themeColor="background1"/>
                          <w:sz w:val="72"/>
                        </w:rPr>
                        <w:t xml:space="preserve"> </w:t>
                      </w:r>
                      <w:r>
                        <w:rPr>
                          <w:rFonts w:ascii="Calibri" w:hAnsi="Calibri"/>
                          <w:b/>
                          <w:color w:val="FFFFFF" w:themeColor="background1"/>
                          <w:sz w:val="72"/>
                        </w:rPr>
                        <w:t xml:space="preserve">Environment </w:t>
                      </w:r>
                      <w:r w:rsidR="00AD3219">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21A65EAC">
                <wp:simplePos x="0" y="0"/>
                <wp:positionH relativeFrom="column">
                  <wp:posOffset>-466725</wp:posOffset>
                </wp:positionH>
                <wp:positionV relativeFrom="paragraph">
                  <wp:posOffset>408940</wp:posOffset>
                </wp:positionV>
                <wp:extent cx="6448425"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6448425"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610366"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610366">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610366">
                              <w:rPr>
                                <w:rFonts w:asciiTheme="minorHAnsi" w:hAnsiTheme="minorHAnsi"/>
                                <w:color w:val="FFFFFF" w:themeColor="background1"/>
                                <w:sz w:val="48"/>
                                <w:szCs w:val="48"/>
                                <w14:textOutline w14:w="9525" w14:cap="rnd" w14:cmpd="sng" w14:algn="ctr">
                                  <w14:noFill/>
                                  <w14:prstDash w14:val="solid"/>
                                  <w14:bevel/>
                                </w14:textOutline>
                              </w:rPr>
                              <w:t>’</w:t>
                            </w:r>
                            <w:r w:rsidRPr="00610366">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36.75pt;margin-top:32.2pt;width:507.75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CUfwIAAGoFAAAOAAAAZHJzL2Uyb0RvYy54bWysVN1P2zAQf5+0/8Hy+0jbtayrSFEHYpqE&#10;AA0mnl3HptFsn2dfm3R/PWcnKRXbC9NekvPd774/zs5ba9hOhViDK/n4ZMSZchKq2j2V/MfD1Yc5&#10;ZxGFq4QBp0q+V5GfL9+/O2v8Qk1gA6ZSgZERFxeNL/kG0S+KIsqNsiKegFeOhBqCFUjP8FRUQTRk&#10;3ZpiMhqdFg2EygeQKkbiXnZCvsz2tVYSb7WOCpkpOcWG+Rvyd52+xfJMLJ6C8Jta9mGIf4jCitqR&#10;04OpS4GCbUP9hylbywARNJ5IsAVoXUuVc6BsxqNX2dxvhFc5FypO9Icyxf9nVt7s7gKrq5LPOHPC&#10;UoseVIvsC7RslqrT+Lgg0L0nGLbEpi4P/EjMlHSrg01/SoeRnOq8P9Q2GZPEPJ1O59MJOZEkG09m&#10;p/P5PNkpXtR9iPhVgWWJKHmg5uWait11xA46QJI3B1e1MbmBxrGGXHycjbLCQULGjUtYlUehN5NS&#10;6kLPFO6NShjjvitNpcgZJEYeQnVhAtsJGh8hpXKYk892CZ1QmoJ4i2KPf4nqLcpdHoNncHhQtrWD&#10;kLN/FXb1cwhZd3iq+VHeicR23eYZOHR2DdWeGh6gW5jo5VVNTbkWEe9EoA2hHtPW4y19tAEqPvQU&#10;ZxsIv//GT3gaXJJy1tDGlTz+2oqgODPfHI305/F0mlY0P6azTxN6hGPJ+ljitvYCqCtjui9eZjLh&#10;0QykDmAf6TisklcSCSfJd8lxIC+wuwN0XKRarTKIltILvHb3XibTqUlp5B7aRxF8P5dII30Dw26K&#10;xavx7LBJ08Fqi6DrPLupzl1V+/rTQufp749PuhjH74x6OZHLZwAAAP//AwBQSwMEFAAGAAgAAAAh&#10;AMk0daziAAAACgEAAA8AAABkcnMvZG93bnJldi54bWxMj8FOwzAQRO9I/IO1SNxaBzcNJWRTVZEq&#10;JASHll64ObGbRNjrELtt4OsxJziu9mnmTbGerGFnPfreEcLdPAGmqXGqpxbh8LadrYD5IElJ40gj&#10;fGkP6/L6qpC5chfa6fM+tCyGkM8lQhfCkHPum05b6edu0BR/RzdaGeI5tlyN8hLDreEiSTJuZU+x&#10;oZODrjrdfOxPFuG52r7KXS3s6ttUTy/HzfB5eF8i3t5Mm0dgQU/hD4Zf/agOZXSq3YmUZwZhdr9Y&#10;RhQhS1NgEXhIRRxXI4hMLICXBf8/ofwBAAD//wMAUEsBAi0AFAAGAAgAAAAhALaDOJL+AAAA4QEA&#10;ABMAAAAAAAAAAAAAAAAAAAAAAFtDb250ZW50X1R5cGVzXS54bWxQSwECLQAUAAYACAAAACEAOP0h&#10;/9YAAACUAQAACwAAAAAAAAAAAAAAAAAvAQAAX3JlbHMvLnJlbHNQSwECLQAUAAYACAAAACEAezJA&#10;lH8CAABqBQAADgAAAAAAAAAAAAAAAAAuAgAAZHJzL2Uyb0RvYy54bWxQSwECLQAUAAYACAAAACEA&#10;yTR1rOIAAAAKAQAADwAAAAAAAAAAAAAAAADZBAAAZHJzL2Rvd25yZXYueG1sUEsFBgAAAAAEAAQA&#10;8wAAAOgFAAAAAA==&#10;" filled="f" stroked="f" strokeweight=".5pt">
                <v:textbox>
                  <w:txbxContent>
                    <w:p w14:paraId="030DB412" w14:textId="6DE1B7D1" w:rsidR="00484844" w:rsidRPr="00610366"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610366">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610366">
                        <w:rPr>
                          <w:rFonts w:asciiTheme="minorHAnsi" w:hAnsiTheme="minorHAnsi"/>
                          <w:color w:val="FFFFFF" w:themeColor="background1"/>
                          <w:sz w:val="48"/>
                          <w:szCs w:val="48"/>
                          <w14:textOutline w14:w="9525" w14:cap="rnd" w14:cmpd="sng" w14:algn="ctr">
                            <w14:noFill/>
                            <w14:prstDash w14:val="solid"/>
                            <w14:bevel/>
                          </w14:textOutline>
                        </w:rPr>
                        <w:t>’</w:t>
                      </w:r>
                      <w:r w:rsidRPr="00610366">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69FF32FF" w14:textId="1DB4DDAE" w:rsidR="00B95BE9" w:rsidRPr="00B95BE9" w:rsidRDefault="00B95BE9" w:rsidP="00B95BE9">
      <w:pPr>
        <w:rPr>
          <w:rFonts w:ascii="Calibri" w:hAnsi="Calibri" w:cs="Calibri"/>
          <w:b/>
          <w:sz w:val="28"/>
          <w:szCs w:val="28"/>
        </w:rPr>
      </w:pPr>
      <w:r w:rsidRPr="00B95BE9">
        <w:rPr>
          <w:rFonts w:ascii="Calibri" w:hAnsi="Calibri" w:cs="Calibri"/>
          <w:b/>
          <w:sz w:val="28"/>
          <w:szCs w:val="28"/>
        </w:rPr>
        <w:lastRenderedPageBreak/>
        <w:t>Leader’s Guide</w:t>
      </w:r>
    </w:p>
    <w:p w14:paraId="3EA927D0" w14:textId="77777777" w:rsidR="00B95BE9" w:rsidRPr="00B95BE9" w:rsidRDefault="00B95BE9" w:rsidP="00B95BE9">
      <w:pPr>
        <w:rPr>
          <w:rFonts w:ascii="Calibri" w:hAnsi="Calibri" w:cs="Calibri"/>
          <w:b/>
          <w:sz w:val="28"/>
          <w:szCs w:val="28"/>
        </w:rPr>
      </w:pPr>
    </w:p>
    <w:p w14:paraId="7E54499C" w14:textId="77777777" w:rsidR="00B95BE9" w:rsidRPr="00B95BE9" w:rsidRDefault="00B95BE9" w:rsidP="00B95BE9">
      <w:pPr>
        <w:pStyle w:val="NormalWeb"/>
        <w:spacing w:before="0" w:beforeAutospacing="0" w:after="0" w:afterAutospacing="0"/>
        <w:rPr>
          <w:rFonts w:ascii="Calibri" w:hAnsi="Calibri" w:cs="Calibri"/>
        </w:rPr>
      </w:pPr>
      <w:r w:rsidRPr="00B95BE9">
        <w:rPr>
          <w:rFonts w:ascii="Calibri" w:hAnsi="Calibri" w:cs="Calibri"/>
        </w:rPr>
        <w:t>With national awareness, reform and quality initiatives surrounding person centered care and homelike environment, having a system that promotes a competent, comprehensive, resident-centered environment is instrumental for positive outcomes. These actions include a review and revision of current policies, procedures, implementation processes, documentation system, review of Quality Measures and quality monitoring, communication and education including staff, residents and families related to the components and aspects of a safe environment to develop our staff competency program.</w:t>
      </w:r>
    </w:p>
    <w:p w14:paraId="0298D1DF" w14:textId="77777777" w:rsidR="00B95BE9" w:rsidRPr="00B95BE9" w:rsidRDefault="00B95BE9" w:rsidP="00B95BE9">
      <w:pPr>
        <w:pStyle w:val="NormalWeb"/>
        <w:spacing w:before="0" w:beforeAutospacing="0" w:after="0" w:afterAutospacing="0"/>
        <w:rPr>
          <w:rFonts w:ascii="Calibri" w:hAnsi="Calibri" w:cs="Calibri"/>
        </w:rPr>
      </w:pPr>
    </w:p>
    <w:p w14:paraId="3BB81694" w14:textId="77777777" w:rsidR="00B95BE9" w:rsidRPr="00B95BE9" w:rsidRDefault="00B95BE9" w:rsidP="00B95BE9">
      <w:pPr>
        <w:rPr>
          <w:rFonts w:ascii="Calibri" w:hAnsi="Calibri" w:cs="Calibri"/>
          <w:szCs w:val="24"/>
        </w:rPr>
      </w:pPr>
      <w:r w:rsidRPr="00B95BE9">
        <w:rPr>
          <w:rFonts w:ascii="Calibri" w:hAnsi="Calibri" w:cs="Calibri"/>
          <w:szCs w:val="24"/>
        </w:rPr>
        <w:t>Strategies for planning staff training and competency for a safe environment includes a process to educate and identify the many different components necessary in the provision of a</w:t>
      </w:r>
      <w:r w:rsidRPr="00B95BE9">
        <w:rPr>
          <w:rFonts w:ascii="Calibri" w:hAnsi="Calibri" w:cs="Calibri"/>
          <w:bCs/>
          <w:iCs/>
          <w:szCs w:val="24"/>
        </w:rPr>
        <w:t xml:space="preserve"> safe, clean, comfortable, and homelike environment.  In addition, allowing the resident to use his or her personal belongings to the extent possible and recognizing the</w:t>
      </w:r>
      <w:r w:rsidRPr="00B95BE9">
        <w:rPr>
          <w:rFonts w:ascii="Calibri" w:hAnsi="Calibri" w:cs="Calibri"/>
          <w:iCs/>
          <w:szCs w:val="24"/>
        </w:rPr>
        <w:t xml:space="preserve"> individuality and autonomy of the resident, “provides an opportunity for self-expression, and encourages links with the past and family members”.</w:t>
      </w:r>
      <w:r w:rsidRPr="00B95BE9">
        <w:rPr>
          <w:rStyle w:val="FootnoteReference"/>
          <w:rFonts w:ascii="Calibri" w:hAnsi="Calibri" w:cs="Calibri"/>
          <w:iCs/>
          <w:szCs w:val="24"/>
        </w:rPr>
        <w:footnoteReference w:id="1"/>
      </w:r>
    </w:p>
    <w:p w14:paraId="5B74A7FA" w14:textId="77777777" w:rsidR="00B95BE9" w:rsidRDefault="00B95BE9" w:rsidP="00B95BE9">
      <w:pPr>
        <w:tabs>
          <w:tab w:val="num" w:pos="720"/>
        </w:tabs>
        <w:rPr>
          <w:rFonts w:ascii="Calibri" w:hAnsi="Calibri" w:cs="Calibri"/>
          <w:szCs w:val="24"/>
        </w:rPr>
      </w:pPr>
    </w:p>
    <w:p w14:paraId="2046F8F2" w14:textId="6EA56DDD" w:rsidR="00B95BE9" w:rsidRPr="00B95BE9" w:rsidRDefault="00B95BE9" w:rsidP="00B95BE9">
      <w:pPr>
        <w:tabs>
          <w:tab w:val="num" w:pos="720"/>
        </w:tabs>
        <w:rPr>
          <w:rFonts w:ascii="Calibri" w:hAnsi="Calibri" w:cs="Calibri"/>
          <w:szCs w:val="24"/>
        </w:rPr>
      </w:pPr>
      <w:r w:rsidRPr="00B95BE9">
        <w:rPr>
          <w:rFonts w:ascii="Calibri" w:hAnsi="Calibri" w:cs="Calibri"/>
          <w:szCs w:val="24"/>
        </w:rPr>
        <w:t xml:space="preserve">The successful safe environment competency program includes a system to help a resident attain or maintain his or her highest practicable level of well-being and to provide a </w:t>
      </w:r>
      <w:r w:rsidRPr="00B95BE9">
        <w:rPr>
          <w:rFonts w:ascii="Calibri" w:hAnsi="Calibri" w:cs="Calibri"/>
          <w:bCs/>
          <w:iCs/>
          <w:szCs w:val="24"/>
        </w:rPr>
        <w:t>safe, clean, comfortable and homelike environment.</w:t>
      </w:r>
      <w:r w:rsidRPr="00B95BE9">
        <w:rPr>
          <w:rFonts w:ascii="Calibri" w:hAnsi="Calibri" w:cs="Calibri"/>
          <w:szCs w:val="24"/>
        </w:rPr>
        <w:t xml:space="preserve"> </w:t>
      </w:r>
    </w:p>
    <w:p w14:paraId="7C4347A6" w14:textId="77777777" w:rsidR="00B95BE9" w:rsidRDefault="00B95BE9" w:rsidP="00B95BE9">
      <w:pPr>
        <w:rPr>
          <w:rFonts w:ascii="Calibri" w:hAnsi="Calibri" w:cs="Calibri"/>
          <w:szCs w:val="24"/>
        </w:rPr>
      </w:pPr>
    </w:p>
    <w:p w14:paraId="5DC929D7" w14:textId="255D02DB" w:rsidR="00B95BE9" w:rsidRPr="00B95BE9" w:rsidRDefault="00B95BE9" w:rsidP="00B95BE9">
      <w:pPr>
        <w:rPr>
          <w:rFonts w:ascii="Calibri" w:hAnsi="Calibri" w:cs="Calibri"/>
          <w:szCs w:val="24"/>
        </w:rPr>
      </w:pPr>
      <w:r w:rsidRPr="00B95BE9">
        <w:rPr>
          <w:rFonts w:ascii="Calibri" w:hAnsi="Calibri" w:cs="Calibri"/>
          <w:szCs w:val="24"/>
        </w:rPr>
        <w:t xml:space="preserve">It is important that all staff understand the expectations of the regulators and best practice approaches.  Providers are obligated to comprehensively assess each individual resident and strive for “person-centered care that emphasizes </w:t>
      </w:r>
      <w:r w:rsidRPr="00B95BE9">
        <w:rPr>
          <w:rFonts w:ascii="Calibri" w:hAnsi="Calibri" w:cs="Calibri"/>
          <w:iCs/>
          <w:szCs w:val="24"/>
        </w:rPr>
        <w:t>individualization, relationships and a psychosocial environment that welcomes each resident and makes her/him comfortable”</w:t>
      </w:r>
      <w:r w:rsidRPr="00B95BE9">
        <w:rPr>
          <w:rStyle w:val="FootnoteReference"/>
          <w:rFonts w:ascii="Calibri" w:hAnsi="Calibri" w:cs="Calibri"/>
          <w:iCs/>
          <w:szCs w:val="24"/>
        </w:rPr>
        <w:footnoteReference w:id="2"/>
      </w:r>
      <w:r w:rsidRPr="00B95BE9">
        <w:rPr>
          <w:rFonts w:ascii="Calibri" w:hAnsi="Calibri" w:cs="Calibri"/>
          <w:iCs/>
          <w:szCs w:val="24"/>
        </w:rPr>
        <w:t xml:space="preserve">, </w:t>
      </w:r>
      <w:r w:rsidRPr="00B95BE9">
        <w:rPr>
          <w:rFonts w:ascii="Calibri" w:hAnsi="Calibri" w:cs="Calibri"/>
          <w:szCs w:val="24"/>
        </w:rPr>
        <w:t>thereby ensuring a process to education and identify evidence of competency will be essential.</w:t>
      </w:r>
    </w:p>
    <w:p w14:paraId="4A834171" w14:textId="77777777" w:rsidR="00B95BE9" w:rsidRDefault="00B95BE9" w:rsidP="00B95BE9">
      <w:pPr>
        <w:pStyle w:val="Default"/>
        <w:rPr>
          <w:rFonts w:ascii="Calibri" w:hAnsi="Calibri" w:cs="Calibri"/>
          <w:iCs/>
          <w:color w:val="auto"/>
        </w:rPr>
      </w:pPr>
    </w:p>
    <w:p w14:paraId="0956F35A" w14:textId="3C209F12" w:rsidR="00B95BE9" w:rsidRPr="00B95BE9" w:rsidRDefault="00B95BE9" w:rsidP="00B95BE9">
      <w:pPr>
        <w:pStyle w:val="Default"/>
        <w:rPr>
          <w:rFonts w:ascii="Calibri" w:hAnsi="Calibri" w:cs="Calibri"/>
          <w:iCs/>
          <w:color w:val="auto"/>
        </w:rPr>
      </w:pPr>
      <w:r w:rsidRPr="00B95BE9">
        <w:rPr>
          <w:rFonts w:ascii="Calibri" w:hAnsi="Calibri" w:cs="Calibri"/>
          <w:iCs/>
          <w:color w:val="auto"/>
        </w:rPr>
        <w:t xml:space="preserve">Keeping the individual preferences, routines, and personal items will have a dynamic impact on quality of life.  Center for Medicare and Medicaid Services (CMS) continues to monitor providers’ compliance with comprehensive assessment, safe environment, and risks to residents. This includes identification of resources, </w:t>
      </w:r>
      <w:proofErr w:type="gramStart"/>
      <w:r w:rsidRPr="00B95BE9">
        <w:rPr>
          <w:rFonts w:ascii="Calibri" w:hAnsi="Calibri" w:cs="Calibri"/>
          <w:iCs/>
          <w:color w:val="auto"/>
        </w:rPr>
        <w:t>sufficient</w:t>
      </w:r>
      <w:proofErr w:type="gramEnd"/>
      <w:r w:rsidRPr="00B95BE9">
        <w:rPr>
          <w:rFonts w:ascii="Calibri" w:hAnsi="Calibri" w:cs="Calibri"/>
          <w:iCs/>
          <w:color w:val="auto"/>
        </w:rPr>
        <w:t xml:space="preserve"> staffing, and services necessary to care for all residents as identified in the facility assessment.</w:t>
      </w:r>
    </w:p>
    <w:p w14:paraId="67C279CB" w14:textId="77777777" w:rsidR="00B95BE9" w:rsidRPr="00B95BE9" w:rsidRDefault="00B95BE9" w:rsidP="00B95BE9">
      <w:pPr>
        <w:pStyle w:val="NormalWeb"/>
        <w:spacing w:before="0" w:beforeAutospacing="0" w:after="0" w:afterAutospacing="0"/>
        <w:rPr>
          <w:rFonts w:ascii="Calibri" w:eastAsia="Calibri" w:hAnsi="Calibri" w:cs="Calibri"/>
        </w:rPr>
      </w:pPr>
    </w:p>
    <w:p w14:paraId="2AC74022" w14:textId="77777777" w:rsidR="00B95BE9" w:rsidRPr="00B95BE9" w:rsidRDefault="00B95BE9" w:rsidP="00B95BE9">
      <w:pPr>
        <w:rPr>
          <w:rFonts w:ascii="Calibri" w:hAnsi="Calibri" w:cs="Calibri"/>
          <w:szCs w:val="24"/>
        </w:rPr>
      </w:pPr>
    </w:p>
    <w:p w14:paraId="38F41498" w14:textId="77777777" w:rsidR="00B95BE9" w:rsidRPr="00B95BE9" w:rsidRDefault="00B95BE9" w:rsidP="00B95BE9">
      <w:pPr>
        <w:rPr>
          <w:rFonts w:ascii="Calibri" w:hAnsi="Calibri" w:cs="Calibri"/>
          <w:szCs w:val="24"/>
        </w:rPr>
      </w:pPr>
    </w:p>
    <w:p w14:paraId="06C6E68F" w14:textId="77777777" w:rsidR="00B95BE9" w:rsidRPr="00B95BE9" w:rsidRDefault="00B95BE9" w:rsidP="00B95BE9">
      <w:pPr>
        <w:rPr>
          <w:rFonts w:ascii="Calibri" w:hAnsi="Calibri" w:cs="Calibri"/>
          <w:szCs w:val="24"/>
        </w:rPr>
      </w:pPr>
    </w:p>
    <w:p w14:paraId="1787BF8A" w14:textId="77777777" w:rsidR="00B95BE9" w:rsidRPr="00B95BE9" w:rsidRDefault="00B95BE9" w:rsidP="00B95BE9">
      <w:pPr>
        <w:rPr>
          <w:rFonts w:ascii="Calibri" w:hAnsi="Calibri" w:cs="Calibri"/>
          <w:szCs w:val="24"/>
        </w:rPr>
      </w:pPr>
    </w:p>
    <w:p w14:paraId="4DCBBE77" w14:textId="7E8DD31A" w:rsidR="00B95BE9" w:rsidRDefault="00B95BE9" w:rsidP="00B95BE9">
      <w:pPr>
        <w:rPr>
          <w:rFonts w:ascii="Calibri" w:hAnsi="Calibri" w:cs="Calibri"/>
          <w:szCs w:val="24"/>
        </w:rPr>
      </w:pPr>
      <w:r w:rsidRPr="00B95BE9">
        <w:rPr>
          <w:rFonts w:ascii="Calibri" w:hAnsi="Calibri" w:cs="Calibri"/>
          <w:szCs w:val="24"/>
        </w:rPr>
        <w:t>Organizational leaders will need to ensure competency of all staff members involved in Safe Environment.  Adequate resources for the program will need to be evaluated using information from the Facility-Wide Resource Assessment including:</w:t>
      </w:r>
    </w:p>
    <w:p w14:paraId="21E87A38" w14:textId="77777777" w:rsidR="00B95BE9" w:rsidRPr="00B95BE9" w:rsidRDefault="00B95BE9" w:rsidP="00B95BE9">
      <w:pPr>
        <w:rPr>
          <w:rFonts w:ascii="Calibri" w:hAnsi="Calibri" w:cs="Calibri"/>
          <w:szCs w:val="24"/>
        </w:rPr>
      </w:pPr>
    </w:p>
    <w:p w14:paraId="1C56B0F3" w14:textId="77777777" w:rsidR="00B95BE9" w:rsidRPr="00B95BE9" w:rsidRDefault="00B95BE9" w:rsidP="00B95BE9">
      <w:pPr>
        <w:pStyle w:val="ListParagraph"/>
        <w:numPr>
          <w:ilvl w:val="0"/>
          <w:numId w:val="45"/>
        </w:numPr>
        <w:spacing w:after="160" w:line="256" w:lineRule="auto"/>
        <w:contextualSpacing/>
        <w:rPr>
          <w:rFonts w:ascii="Calibri" w:hAnsi="Calibri" w:cs="Calibri"/>
          <w:szCs w:val="24"/>
        </w:rPr>
      </w:pPr>
      <w:r w:rsidRPr="00B95BE9">
        <w:rPr>
          <w:rFonts w:ascii="Calibri" w:hAnsi="Calibri" w:cs="Calibri"/>
          <w:szCs w:val="24"/>
        </w:rPr>
        <w:t>Staff Resources</w:t>
      </w:r>
    </w:p>
    <w:p w14:paraId="44CF2C53"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Licensed Nurses</w:t>
      </w:r>
    </w:p>
    <w:p w14:paraId="5AE44205"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All Staff/Volunteers/Contracted Staff</w:t>
      </w:r>
    </w:p>
    <w:p w14:paraId="01C599CE" w14:textId="77777777" w:rsidR="00B95BE9" w:rsidRPr="00B95BE9" w:rsidRDefault="00B95BE9" w:rsidP="00B95BE9">
      <w:pPr>
        <w:pStyle w:val="ListParagraph"/>
        <w:numPr>
          <w:ilvl w:val="0"/>
          <w:numId w:val="45"/>
        </w:numPr>
        <w:spacing w:after="160" w:line="256" w:lineRule="auto"/>
        <w:contextualSpacing/>
        <w:rPr>
          <w:rFonts w:ascii="Calibri" w:hAnsi="Calibri" w:cs="Calibri"/>
          <w:szCs w:val="24"/>
        </w:rPr>
      </w:pPr>
      <w:r w:rsidRPr="00B95BE9">
        <w:rPr>
          <w:rFonts w:ascii="Calibri" w:hAnsi="Calibri" w:cs="Calibri"/>
          <w:szCs w:val="24"/>
        </w:rPr>
        <w:t>Documentation Considerations</w:t>
      </w:r>
    </w:p>
    <w:p w14:paraId="14AA1B1A"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Paper vs. Electronic</w:t>
      </w:r>
    </w:p>
    <w:p w14:paraId="5CDE6ED1"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Assessment/Evaluation forms</w:t>
      </w:r>
    </w:p>
    <w:p w14:paraId="5C4E2583"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Person Centered Care planning</w:t>
      </w:r>
    </w:p>
    <w:p w14:paraId="3D01E769"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Work Order/Repair reporting</w:t>
      </w:r>
    </w:p>
    <w:p w14:paraId="0D17724D" w14:textId="77777777" w:rsidR="00B95BE9" w:rsidRPr="00B95BE9" w:rsidRDefault="00B95BE9" w:rsidP="00B95BE9">
      <w:pPr>
        <w:pStyle w:val="ListParagraph"/>
        <w:numPr>
          <w:ilvl w:val="0"/>
          <w:numId w:val="45"/>
        </w:numPr>
        <w:spacing w:after="160" w:line="256" w:lineRule="auto"/>
        <w:contextualSpacing/>
        <w:rPr>
          <w:rFonts w:ascii="Calibri" w:hAnsi="Calibri" w:cs="Calibri"/>
          <w:szCs w:val="24"/>
        </w:rPr>
      </w:pPr>
      <w:r w:rsidRPr="00B95BE9">
        <w:rPr>
          <w:rFonts w:ascii="Calibri" w:hAnsi="Calibri" w:cs="Calibri"/>
          <w:szCs w:val="24"/>
        </w:rPr>
        <w:t>Education</w:t>
      </w:r>
    </w:p>
    <w:p w14:paraId="5788AE91"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Assessment/Evaluation skills</w:t>
      </w:r>
    </w:p>
    <w:p w14:paraId="319DCC2A"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Person-centered Care Plan Development</w:t>
      </w:r>
    </w:p>
    <w:p w14:paraId="0DAE38C8"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Recognizing risks, hazards, instructional practices</w:t>
      </w:r>
    </w:p>
    <w:p w14:paraId="6FC51C1B"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Communication and reporting</w:t>
      </w:r>
    </w:p>
    <w:p w14:paraId="77D434A3"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Monitoring, Analysis, and Modifications</w:t>
      </w:r>
    </w:p>
    <w:p w14:paraId="22F442BC" w14:textId="77777777" w:rsidR="00B95BE9" w:rsidRPr="00B95BE9" w:rsidRDefault="00B95BE9" w:rsidP="00B95BE9">
      <w:pPr>
        <w:pStyle w:val="ListParagraph"/>
        <w:numPr>
          <w:ilvl w:val="0"/>
          <w:numId w:val="45"/>
        </w:numPr>
        <w:spacing w:after="160" w:line="256" w:lineRule="auto"/>
        <w:contextualSpacing/>
        <w:rPr>
          <w:rFonts w:ascii="Calibri" w:hAnsi="Calibri" w:cs="Calibri"/>
          <w:szCs w:val="24"/>
        </w:rPr>
      </w:pPr>
      <w:r w:rsidRPr="00B95BE9">
        <w:rPr>
          <w:rFonts w:ascii="Calibri" w:hAnsi="Calibri" w:cs="Calibri"/>
          <w:szCs w:val="24"/>
        </w:rPr>
        <w:t>Evaluation and Monitoring</w:t>
      </w:r>
    </w:p>
    <w:p w14:paraId="0FB0E0F8"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Observations, Interviews, and Record Reviews</w:t>
      </w:r>
    </w:p>
    <w:p w14:paraId="0FB34631" w14:textId="77777777" w:rsidR="00B95BE9" w:rsidRPr="00B95BE9" w:rsidRDefault="00B95BE9" w:rsidP="00B95BE9">
      <w:pPr>
        <w:pStyle w:val="ListParagraph"/>
        <w:numPr>
          <w:ilvl w:val="1"/>
          <w:numId w:val="45"/>
        </w:numPr>
        <w:spacing w:after="160" w:line="256" w:lineRule="auto"/>
        <w:contextualSpacing/>
        <w:rPr>
          <w:rFonts w:ascii="Calibri" w:hAnsi="Calibri" w:cs="Calibri"/>
          <w:szCs w:val="24"/>
        </w:rPr>
      </w:pPr>
      <w:r w:rsidRPr="00B95BE9">
        <w:rPr>
          <w:rFonts w:ascii="Calibri" w:hAnsi="Calibri" w:cs="Calibri"/>
          <w:szCs w:val="24"/>
        </w:rPr>
        <w:t>QAPI</w:t>
      </w:r>
    </w:p>
    <w:p w14:paraId="6B986CD6" w14:textId="77777777" w:rsidR="00B95BE9" w:rsidRPr="00B95BE9" w:rsidRDefault="00B95BE9" w:rsidP="00B95BE9">
      <w:pPr>
        <w:pStyle w:val="ListParagraph"/>
        <w:numPr>
          <w:ilvl w:val="0"/>
          <w:numId w:val="45"/>
        </w:numPr>
        <w:spacing w:after="160" w:line="256" w:lineRule="auto"/>
        <w:contextualSpacing/>
        <w:rPr>
          <w:rFonts w:ascii="Calibri" w:hAnsi="Calibri" w:cs="Calibri"/>
          <w:szCs w:val="24"/>
        </w:rPr>
      </w:pPr>
      <w:r w:rsidRPr="00B95BE9">
        <w:rPr>
          <w:rFonts w:ascii="Calibri" w:hAnsi="Calibri" w:cs="Calibri"/>
          <w:szCs w:val="24"/>
        </w:rPr>
        <w:t>Supplies and Equipment</w:t>
      </w:r>
    </w:p>
    <w:p w14:paraId="51943FEF" w14:textId="77777777" w:rsidR="00B95BE9" w:rsidRPr="00B95BE9" w:rsidRDefault="00B95BE9" w:rsidP="00B95BE9">
      <w:pPr>
        <w:pStyle w:val="ListParagraph"/>
        <w:rPr>
          <w:rFonts w:ascii="Calibri" w:hAnsi="Calibri" w:cs="Calibri"/>
          <w:szCs w:val="24"/>
        </w:rPr>
      </w:pPr>
    </w:p>
    <w:p w14:paraId="3F6586C5" w14:textId="77777777" w:rsidR="00B95BE9" w:rsidRPr="00B95BE9" w:rsidRDefault="00B95BE9" w:rsidP="00B95BE9">
      <w:pPr>
        <w:pStyle w:val="ListParagraph"/>
        <w:rPr>
          <w:rFonts w:ascii="Calibri" w:hAnsi="Calibri" w:cs="Calibri"/>
          <w:szCs w:val="24"/>
        </w:rPr>
      </w:pPr>
    </w:p>
    <w:p w14:paraId="34F01054" w14:textId="77777777" w:rsidR="00B95BE9" w:rsidRPr="00B95BE9" w:rsidRDefault="00B95BE9" w:rsidP="00B95BE9">
      <w:pPr>
        <w:pStyle w:val="ListParagraph"/>
        <w:rPr>
          <w:rFonts w:ascii="Calibri" w:hAnsi="Calibri" w:cs="Calibri"/>
          <w:szCs w:val="24"/>
        </w:rPr>
      </w:pPr>
    </w:p>
    <w:p w14:paraId="78AF3B68" w14:textId="77777777" w:rsidR="00B95BE9" w:rsidRPr="00B95BE9" w:rsidRDefault="00B95BE9" w:rsidP="00B95BE9">
      <w:pPr>
        <w:pStyle w:val="ListParagraph"/>
        <w:rPr>
          <w:rFonts w:ascii="Calibri" w:hAnsi="Calibri" w:cs="Calibri"/>
          <w:szCs w:val="24"/>
        </w:rPr>
      </w:pPr>
    </w:p>
    <w:p w14:paraId="7586FD43" w14:textId="77777777" w:rsidR="00B95BE9" w:rsidRPr="00B95BE9" w:rsidRDefault="00B95BE9" w:rsidP="00B95BE9">
      <w:pPr>
        <w:rPr>
          <w:rFonts w:ascii="Calibri" w:hAnsi="Calibri" w:cs="Calibri"/>
          <w:b/>
          <w:szCs w:val="24"/>
        </w:rPr>
      </w:pPr>
      <w:r w:rsidRPr="00B95BE9">
        <w:rPr>
          <w:rFonts w:ascii="Calibri" w:hAnsi="Calibri" w:cs="Calibri"/>
          <w:b/>
          <w:szCs w:val="24"/>
        </w:rPr>
        <w:t>References and Resources:</w:t>
      </w:r>
    </w:p>
    <w:p w14:paraId="56AEF68A" w14:textId="77777777" w:rsidR="00B95BE9" w:rsidRPr="00B95BE9" w:rsidRDefault="00B95BE9" w:rsidP="00B95BE9">
      <w:pPr>
        <w:pStyle w:val="Footer"/>
        <w:rPr>
          <w:rStyle w:val="Hyperlink"/>
          <w:rFonts w:ascii="Calibri" w:hAnsi="Calibri" w:cs="Calibri"/>
          <w:szCs w:val="24"/>
        </w:rPr>
      </w:pPr>
      <w:r w:rsidRPr="00B95BE9">
        <w:rPr>
          <w:rFonts w:ascii="Calibri" w:hAnsi="Calibri" w:cs="Calibri"/>
          <w:szCs w:val="24"/>
        </w:rPr>
        <w:t xml:space="preserve">Centers for Medicare &amp; Medicaid Services State Operations Manual, Appendix PP – Guidance to Surveyors for Long Term Care Facilities (Rev. 173, 11-22-17):  </w:t>
      </w:r>
      <w:hyperlink r:id="rId8" w:history="1">
        <w:r w:rsidRPr="00B95BE9">
          <w:rPr>
            <w:rStyle w:val="Hyperlink"/>
            <w:rFonts w:ascii="Calibri" w:hAnsi="Calibri" w:cs="Calibri"/>
            <w:szCs w:val="24"/>
          </w:rPr>
          <w:t>https://www.cms.gov/Regulations-and-Guidance/Guidance/Manuals/downloads/som107ap_pp_guidelines_ltcf.pdf</w:t>
        </w:r>
      </w:hyperlink>
    </w:p>
    <w:p w14:paraId="1134E813" w14:textId="77777777" w:rsidR="00B95BE9" w:rsidRPr="00B95BE9" w:rsidRDefault="00B95BE9" w:rsidP="00B95BE9">
      <w:pPr>
        <w:pStyle w:val="Footer"/>
        <w:rPr>
          <w:rStyle w:val="Hyperlink"/>
          <w:rFonts w:ascii="Calibri" w:hAnsi="Calibri" w:cs="Calibri"/>
          <w:szCs w:val="24"/>
        </w:rPr>
      </w:pPr>
    </w:p>
    <w:p w14:paraId="35B7CF82" w14:textId="39F64B86" w:rsidR="00B95BE9" w:rsidRPr="00610366" w:rsidRDefault="00B95BE9" w:rsidP="00B95BE9">
      <w:pPr>
        <w:pStyle w:val="Footer"/>
        <w:rPr>
          <w:rStyle w:val="Hyperlink"/>
          <w:rFonts w:ascii="Calibri" w:hAnsi="Calibri" w:cs="Calibri"/>
          <w:color w:val="000000" w:themeColor="text1"/>
          <w:szCs w:val="24"/>
          <w:u w:val="none"/>
        </w:rPr>
      </w:pPr>
      <w:r w:rsidRPr="00610366">
        <w:rPr>
          <w:rStyle w:val="Hyperlink"/>
          <w:rFonts w:ascii="Calibri" w:hAnsi="Calibri" w:cs="Calibri"/>
          <w:color w:val="000000" w:themeColor="text1"/>
          <w:szCs w:val="24"/>
          <w:u w:val="none"/>
        </w:rPr>
        <w:t>LTC Survey Pathways (Download) CMS 20061 (11/</w:t>
      </w:r>
      <w:r w:rsidR="00610366" w:rsidRPr="00610366">
        <w:rPr>
          <w:rStyle w:val="Hyperlink"/>
          <w:rFonts w:ascii="Calibri" w:hAnsi="Calibri" w:cs="Calibri"/>
          <w:color w:val="000000" w:themeColor="text1"/>
          <w:szCs w:val="24"/>
          <w:u w:val="none"/>
        </w:rPr>
        <w:t>2017) Environmental</w:t>
      </w:r>
      <w:r w:rsidRPr="00610366">
        <w:rPr>
          <w:rStyle w:val="Hyperlink"/>
          <w:rFonts w:ascii="Calibri" w:hAnsi="Calibri" w:cs="Calibri"/>
          <w:color w:val="000000" w:themeColor="text1"/>
          <w:szCs w:val="24"/>
          <w:u w:val="none"/>
        </w:rPr>
        <w:t xml:space="preserve"> Observations Critical Element Pathway</w:t>
      </w:r>
    </w:p>
    <w:p w14:paraId="67A08750" w14:textId="77777777" w:rsidR="00B95BE9" w:rsidRPr="00B95BE9" w:rsidRDefault="00275E79" w:rsidP="00B95BE9">
      <w:pPr>
        <w:pStyle w:val="Footer"/>
        <w:rPr>
          <w:rStyle w:val="Hyperlink"/>
          <w:rFonts w:ascii="Calibri" w:hAnsi="Calibri" w:cs="Calibri"/>
          <w:szCs w:val="24"/>
        </w:rPr>
      </w:pPr>
      <w:hyperlink r:id="rId9" w:history="1">
        <w:r w:rsidR="00B95BE9" w:rsidRPr="00B95BE9">
          <w:rPr>
            <w:rStyle w:val="Hyperlink"/>
            <w:rFonts w:ascii="Calibri" w:hAnsi="Calibri" w:cs="Calibri"/>
            <w:szCs w:val="24"/>
          </w:rPr>
          <w:t>https://www.cms.gov/medicare/provider-enrollment-and-certification/guidanceforlawsandregulations/nursing-homes.html</w:t>
        </w:r>
      </w:hyperlink>
    </w:p>
    <w:p w14:paraId="14740725" w14:textId="77777777" w:rsidR="00B95BE9" w:rsidRPr="00B95BE9" w:rsidRDefault="00B95BE9" w:rsidP="00B95BE9">
      <w:pPr>
        <w:autoSpaceDE w:val="0"/>
        <w:autoSpaceDN w:val="0"/>
        <w:adjustRightInd w:val="0"/>
        <w:rPr>
          <w:rFonts w:ascii="Calibri" w:hAnsi="Calibri" w:cs="Calibri"/>
          <w:color w:val="000000"/>
        </w:rPr>
      </w:pPr>
    </w:p>
    <w:p w14:paraId="6F859E29" w14:textId="77777777" w:rsidR="00AD3219" w:rsidRPr="00B95BE9" w:rsidRDefault="00AD3219" w:rsidP="00B95BE9">
      <w:pPr>
        <w:rPr>
          <w:rFonts w:ascii="Calibri" w:hAnsi="Calibri" w:cs="Calibri"/>
          <w:sz w:val="22"/>
          <w:szCs w:val="22"/>
        </w:rPr>
      </w:pPr>
      <w:bookmarkStart w:id="0" w:name="_GoBack"/>
      <w:bookmarkEnd w:id="0"/>
    </w:p>
    <w:sectPr w:rsidR="00AD3219" w:rsidRPr="00B95BE9"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90E77" w14:textId="77777777" w:rsidR="00275E79" w:rsidRDefault="00275E79" w:rsidP="00FE158D">
      <w:r>
        <w:separator/>
      </w:r>
    </w:p>
  </w:endnote>
  <w:endnote w:type="continuationSeparator" w:id="0">
    <w:p w14:paraId="2F4A20A6" w14:textId="77777777" w:rsidR="00275E79" w:rsidRDefault="00275E7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F311" w14:textId="77777777" w:rsidR="00275E79" w:rsidRDefault="00275E79" w:rsidP="00FE158D">
      <w:r>
        <w:separator/>
      </w:r>
    </w:p>
  </w:footnote>
  <w:footnote w:type="continuationSeparator" w:id="0">
    <w:p w14:paraId="0A99F766" w14:textId="77777777" w:rsidR="00275E79" w:rsidRDefault="00275E79" w:rsidP="00FE158D">
      <w:r>
        <w:continuationSeparator/>
      </w:r>
    </w:p>
  </w:footnote>
  <w:footnote w:id="1">
    <w:p w14:paraId="3179D1E3" w14:textId="77777777" w:rsidR="00B95BE9" w:rsidRPr="00645727" w:rsidRDefault="00B95BE9" w:rsidP="00B95BE9">
      <w:pPr>
        <w:pStyle w:val="FootnoteText"/>
        <w:rPr>
          <w:rFonts w:cstheme="minorHAnsi"/>
        </w:rPr>
      </w:pPr>
      <w:r>
        <w:rPr>
          <w:rFonts w:cstheme="minorHAnsi"/>
          <w:vertAlign w:val="superscript"/>
        </w:rPr>
        <w:t>1</w:t>
      </w:r>
      <w:r w:rsidRPr="00645727">
        <w:rPr>
          <w:rFonts w:cstheme="minorHAnsi"/>
          <w:vertAlign w:val="superscript"/>
        </w:rPr>
        <w:t>,</w:t>
      </w:r>
      <w:r>
        <w:rPr>
          <w:rFonts w:cstheme="minorHAnsi"/>
          <w:vertAlign w:val="superscript"/>
        </w:rPr>
        <w:t>2</w:t>
      </w:r>
      <w:r w:rsidRPr="00645727">
        <w:rPr>
          <w:rFonts w:cstheme="minorHAnsi"/>
        </w:rPr>
        <w:t xml:space="preserve"> Centers for Medicare &amp; Medicaid Services State Operations Manual, Appendix PP – Guidance to Surveyors for Long Term Care Facilities (Rev. 173, 11-22-17):  </w:t>
      </w:r>
      <w:hyperlink r:id="rId1" w:history="1">
        <w:r w:rsidRPr="00645727">
          <w:rPr>
            <w:rFonts w:cstheme="minorHAnsi"/>
            <w:color w:val="0563C1" w:themeColor="hyperlink"/>
            <w:u w:val="single"/>
          </w:rPr>
          <w:t>https://www.cms.gov/Regulations-and-Guidance/Guidance/Manuals/downloads/som107ap_pp_guidelines_ltcf.pdf</w:t>
        </w:r>
      </w:hyperlink>
    </w:p>
    <w:p w14:paraId="2975CBAE" w14:textId="77777777" w:rsidR="00B95BE9" w:rsidRDefault="00B95BE9" w:rsidP="00B95BE9">
      <w:pPr>
        <w:pStyle w:val="FootnoteText"/>
      </w:pPr>
    </w:p>
  </w:footnote>
  <w:footnote w:id="2">
    <w:p w14:paraId="2713A05D" w14:textId="77777777" w:rsidR="00B95BE9" w:rsidRDefault="00B95BE9" w:rsidP="00B95B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BD44B14"/>
    <w:multiLevelType w:val="hybridMultilevel"/>
    <w:tmpl w:val="FB1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7"/>
  </w:num>
  <w:num w:numId="24">
    <w:abstractNumId w:val="15"/>
  </w:num>
  <w:num w:numId="25">
    <w:abstractNumId w:val="25"/>
  </w:num>
  <w:num w:numId="26">
    <w:abstractNumId w:val="21"/>
  </w:num>
  <w:num w:numId="27">
    <w:abstractNumId w:val="26"/>
  </w:num>
  <w:num w:numId="28">
    <w:abstractNumId w:val="13"/>
  </w:num>
  <w:num w:numId="29">
    <w:abstractNumId w:val="30"/>
  </w:num>
  <w:num w:numId="30">
    <w:abstractNumId w:val="28"/>
  </w:num>
  <w:num w:numId="31">
    <w:abstractNumId w:val="42"/>
  </w:num>
  <w:num w:numId="32">
    <w:abstractNumId w:val="31"/>
  </w:num>
  <w:num w:numId="33">
    <w:abstractNumId w:val="1"/>
  </w:num>
  <w:num w:numId="34">
    <w:abstractNumId w:val="34"/>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8"/>
  </w:num>
  <w:num w:numId="39">
    <w:abstractNumId w:val="4"/>
  </w:num>
  <w:num w:numId="40">
    <w:abstractNumId w:val="3"/>
  </w:num>
  <w:num w:numId="41">
    <w:abstractNumId w:val="6"/>
  </w:num>
  <w:num w:numId="42">
    <w:abstractNumId w:val="45"/>
  </w:num>
  <w:num w:numId="43">
    <w:abstractNumId w:val="39"/>
  </w:num>
  <w:num w:numId="44">
    <w:abstractNumId w:val="41"/>
  </w:num>
  <w:num w:numId="4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B2E5E"/>
    <w:rsid w:val="001E4C9D"/>
    <w:rsid w:val="002376A2"/>
    <w:rsid w:val="00257E7E"/>
    <w:rsid w:val="0027488D"/>
    <w:rsid w:val="00275E79"/>
    <w:rsid w:val="002B6A29"/>
    <w:rsid w:val="002C5F29"/>
    <w:rsid w:val="002F2B8A"/>
    <w:rsid w:val="003011C7"/>
    <w:rsid w:val="00301AA8"/>
    <w:rsid w:val="00372DF7"/>
    <w:rsid w:val="00373CF0"/>
    <w:rsid w:val="003A3E8D"/>
    <w:rsid w:val="003B0939"/>
    <w:rsid w:val="003D1AFC"/>
    <w:rsid w:val="003E2EB0"/>
    <w:rsid w:val="003F0C77"/>
    <w:rsid w:val="00484844"/>
    <w:rsid w:val="004C2F6B"/>
    <w:rsid w:val="004E7603"/>
    <w:rsid w:val="00534CAA"/>
    <w:rsid w:val="0053732B"/>
    <w:rsid w:val="005438CB"/>
    <w:rsid w:val="00593E4B"/>
    <w:rsid w:val="005F036A"/>
    <w:rsid w:val="006034EC"/>
    <w:rsid w:val="00603AC0"/>
    <w:rsid w:val="00605605"/>
    <w:rsid w:val="00610027"/>
    <w:rsid w:val="00610366"/>
    <w:rsid w:val="006338B1"/>
    <w:rsid w:val="00667EDF"/>
    <w:rsid w:val="006A3CC2"/>
    <w:rsid w:val="006B2ED2"/>
    <w:rsid w:val="006C3A86"/>
    <w:rsid w:val="007251EF"/>
    <w:rsid w:val="00783084"/>
    <w:rsid w:val="007A61F1"/>
    <w:rsid w:val="007F26C3"/>
    <w:rsid w:val="00805910"/>
    <w:rsid w:val="008259FB"/>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B019EA"/>
    <w:rsid w:val="00B24FB4"/>
    <w:rsid w:val="00B534FF"/>
    <w:rsid w:val="00B576FB"/>
    <w:rsid w:val="00B95BE9"/>
    <w:rsid w:val="00BB507F"/>
    <w:rsid w:val="00BF1EB5"/>
    <w:rsid w:val="00C0102E"/>
    <w:rsid w:val="00C170A5"/>
    <w:rsid w:val="00C36C62"/>
    <w:rsid w:val="00C42B78"/>
    <w:rsid w:val="00C70196"/>
    <w:rsid w:val="00C71D53"/>
    <w:rsid w:val="00D83F78"/>
    <w:rsid w:val="00DB6D68"/>
    <w:rsid w:val="00DC40AB"/>
    <w:rsid w:val="00DE7AF9"/>
    <w:rsid w:val="00E42992"/>
    <w:rsid w:val="00E67E7C"/>
    <w:rsid w:val="00E94EC6"/>
    <w:rsid w:val="00ED6153"/>
    <w:rsid w:val="00EF0A0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518B-C532-464B-AB55-215A43C0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6</cp:revision>
  <dcterms:created xsi:type="dcterms:W3CDTF">2019-04-20T20:02:00Z</dcterms:created>
  <dcterms:modified xsi:type="dcterms:W3CDTF">2019-05-08T17:33:00Z</dcterms:modified>
</cp:coreProperties>
</file>