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67986951">
                <wp:simplePos x="0" y="0"/>
                <wp:positionH relativeFrom="margin">
                  <wp:align>left</wp:align>
                </wp:positionH>
                <wp:positionV relativeFrom="page">
                  <wp:posOffset>914400</wp:posOffset>
                </wp:positionV>
                <wp:extent cx="5915025" cy="2686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15025"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3F617761" w14:textId="164D972A"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 xml:space="preserve">Optimizing the Supply of </w:t>
                            </w:r>
                            <w:r w:rsidR="00286594">
                              <w:rPr>
                                <w:rFonts w:ascii="Calibri" w:hAnsi="Calibri"/>
                                <w:b/>
                                <w:color w:val="FFFFFF" w:themeColor="background1"/>
                                <w:sz w:val="68"/>
                                <w:szCs w:val="68"/>
                              </w:rPr>
                              <w:t xml:space="preserve">Gloves </w:t>
                            </w:r>
                            <w:r w:rsidRPr="00561F7F">
                              <w:rPr>
                                <w:rFonts w:ascii="Calibri" w:hAnsi="Calibri"/>
                                <w:b/>
                                <w:color w:val="FFFFFF" w:themeColor="background1"/>
                                <w:sz w:val="68"/>
                                <w:szCs w:val="68"/>
                              </w:rPr>
                              <w:t>During COVID-19 Pandemic</w:t>
                            </w:r>
                            <w:r w:rsidR="00102AA9" w:rsidRPr="00561F7F">
                              <w:rPr>
                                <w:rFonts w:ascii="Calibri" w:hAnsi="Calibri"/>
                                <w:b/>
                                <w:color w:val="FFFFFF" w:themeColor="background1"/>
                                <w:sz w:val="68"/>
                                <w:szCs w:val="68"/>
                              </w:rPr>
                              <w:t xml:space="preserve"> </w:t>
                            </w:r>
                            <w:r w:rsidR="00D94C59">
                              <w:rPr>
                                <w:rFonts w:ascii="Calibri" w:hAnsi="Calibri"/>
                                <w:b/>
                                <w:color w:val="FFFFFF" w:themeColor="background1"/>
                                <w:sz w:val="68"/>
                                <w:szCs w:val="68"/>
                              </w:rPr>
                              <w: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5.75pt;height:2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" filled="f" stroked="f" strokeweight=".5pt">
                <v:textbo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3F617761" w14:textId="164D972A"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 xml:space="preserve">Optimizing the Supply of </w:t>
                      </w:r>
                      <w:r w:rsidR="00286594">
                        <w:rPr>
                          <w:rFonts w:ascii="Calibri" w:hAnsi="Calibri"/>
                          <w:b/>
                          <w:color w:val="FFFFFF" w:themeColor="background1"/>
                          <w:sz w:val="68"/>
                          <w:szCs w:val="68"/>
                        </w:rPr>
                        <w:t xml:space="preserve">Gloves </w:t>
                      </w:r>
                      <w:r w:rsidRPr="00561F7F">
                        <w:rPr>
                          <w:rFonts w:ascii="Calibri" w:hAnsi="Calibri"/>
                          <w:b/>
                          <w:color w:val="FFFFFF" w:themeColor="background1"/>
                          <w:sz w:val="68"/>
                          <w:szCs w:val="68"/>
                        </w:rPr>
                        <w:t>During COVID-19 Pandemic</w:t>
                      </w:r>
                      <w:r w:rsidR="00102AA9" w:rsidRPr="00561F7F">
                        <w:rPr>
                          <w:rFonts w:ascii="Calibri" w:hAnsi="Calibri"/>
                          <w:b/>
                          <w:color w:val="FFFFFF" w:themeColor="background1"/>
                          <w:sz w:val="68"/>
                          <w:szCs w:val="68"/>
                        </w:rPr>
                        <w:t xml:space="preserve"> </w:t>
                      </w:r>
                      <w:r w:rsidR="00D94C59">
                        <w:rPr>
                          <w:rFonts w:ascii="Calibri" w:hAnsi="Calibri"/>
                          <w:b/>
                          <w:color w:val="FFFFFF" w:themeColor="background1"/>
                          <w:sz w:val="68"/>
                          <w:szCs w:val="68"/>
                        </w:rPr>
                        <w:t>- Policy</w:t>
                      </w:r>
                    </w:p>
                  </w:txbxContent>
                </v:textbox>
                <w10:wrap anchorx="margin" anchory="page"/>
              </v:shape>
            </w:pict>
          </mc:Fallback>
        </mc:AlternateContent>
      </w:r>
    </w:p>
    <w:p w14:paraId="4CD751C8" w14:textId="67A33EDA" w:rsidR="001813CB" w:rsidRPr="00AC1EEC" w:rsidRDefault="00484844" w:rsidP="001813CB">
      <w:pPr>
        <w:jc w:val="center"/>
        <w:rPr>
          <w:rFonts w:asciiTheme="minorHAnsi" w:hAnsiTheme="minorHAnsi" w:cstheme="minorHAnsi"/>
          <w:b/>
          <w:bCs/>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561F7F" w:rsidRPr="00AC1EEC">
        <w:rPr>
          <w:rFonts w:asciiTheme="minorHAnsi" w:hAnsiTheme="minorHAnsi" w:cstheme="minorHAnsi"/>
          <w:b/>
          <w:bCs/>
          <w:sz w:val="28"/>
          <w:szCs w:val="28"/>
        </w:rPr>
        <w:lastRenderedPageBreak/>
        <w:t xml:space="preserve">Optimizing the Supply of </w:t>
      </w:r>
      <w:r w:rsidR="00454C2E" w:rsidRPr="00AC1EEC">
        <w:rPr>
          <w:rFonts w:asciiTheme="minorHAnsi" w:hAnsiTheme="minorHAnsi" w:cstheme="minorHAnsi"/>
          <w:b/>
          <w:bCs/>
          <w:sz w:val="28"/>
          <w:szCs w:val="28"/>
        </w:rPr>
        <w:t>Gloves</w:t>
      </w:r>
      <w:r w:rsidR="00094EEE" w:rsidRPr="00AC1EEC">
        <w:rPr>
          <w:rFonts w:asciiTheme="minorHAnsi" w:hAnsiTheme="minorHAnsi" w:cstheme="minorHAnsi"/>
          <w:b/>
          <w:bCs/>
          <w:sz w:val="28"/>
          <w:szCs w:val="28"/>
        </w:rPr>
        <w:t xml:space="preserve"> </w:t>
      </w:r>
      <w:r w:rsidR="00561F7F" w:rsidRPr="00AC1EEC">
        <w:rPr>
          <w:rFonts w:asciiTheme="minorHAnsi" w:hAnsiTheme="minorHAnsi" w:cstheme="minorHAnsi"/>
          <w:b/>
          <w:bCs/>
          <w:sz w:val="28"/>
          <w:szCs w:val="28"/>
        </w:rPr>
        <w:t>During COVID-19 Pandemic</w:t>
      </w:r>
    </w:p>
    <w:p w14:paraId="7CAF215C" w14:textId="77777777" w:rsidR="00454C2E" w:rsidRPr="00AC1EEC" w:rsidRDefault="00454C2E" w:rsidP="001813CB">
      <w:pPr>
        <w:jc w:val="center"/>
        <w:rPr>
          <w:rFonts w:asciiTheme="minorHAnsi" w:hAnsiTheme="minorHAnsi" w:cstheme="minorHAnsi"/>
          <w:b/>
          <w:bCs/>
          <w:sz w:val="22"/>
          <w:szCs w:val="22"/>
        </w:rPr>
      </w:pPr>
    </w:p>
    <w:p w14:paraId="4C4DE916" w14:textId="3D181F5C" w:rsidR="00454C2E" w:rsidRPr="00AC1EEC" w:rsidRDefault="00454C2E" w:rsidP="00454C2E">
      <w:pPr>
        <w:rPr>
          <w:rFonts w:asciiTheme="minorHAnsi" w:hAnsiTheme="minorHAnsi" w:cstheme="minorHAnsi"/>
          <w:b/>
          <w:bCs/>
          <w:szCs w:val="24"/>
        </w:rPr>
      </w:pPr>
      <w:r w:rsidRPr="00AC1EEC">
        <w:rPr>
          <w:rFonts w:asciiTheme="minorHAnsi" w:hAnsiTheme="minorHAnsi" w:cstheme="minorHAnsi"/>
          <w:b/>
          <w:bCs/>
          <w:szCs w:val="24"/>
        </w:rPr>
        <w:t>Policy</w:t>
      </w:r>
    </w:p>
    <w:p w14:paraId="6177D733" w14:textId="77777777" w:rsidR="00454C2E" w:rsidRPr="00AC1EEC" w:rsidRDefault="00454C2E" w:rsidP="00454C2E">
      <w:pPr>
        <w:rPr>
          <w:rFonts w:asciiTheme="minorHAnsi" w:hAnsiTheme="minorHAnsi" w:cstheme="minorHAnsi"/>
          <w:sz w:val="22"/>
          <w:szCs w:val="22"/>
        </w:rPr>
      </w:pPr>
    </w:p>
    <w:p w14:paraId="63F3D552" w14:textId="4D87A401" w:rsidR="00454C2E" w:rsidRPr="00AC1EEC" w:rsidRDefault="00454C2E" w:rsidP="00454C2E">
      <w:pPr>
        <w:rPr>
          <w:rFonts w:asciiTheme="minorHAnsi" w:hAnsiTheme="minorHAnsi" w:cstheme="minorHAnsi"/>
          <w:sz w:val="22"/>
          <w:szCs w:val="22"/>
        </w:rPr>
      </w:pPr>
      <w:r w:rsidRPr="00AC1EEC">
        <w:rPr>
          <w:rFonts w:asciiTheme="minorHAnsi" w:hAnsiTheme="minorHAnsi" w:cstheme="minorHAnsi"/>
          <w:sz w:val="22"/>
          <w:szCs w:val="22"/>
        </w:rPr>
        <w:t xml:space="preserve">It is the policy of this facility to optimize the use of gloves consistent with current CDC guidance. </w:t>
      </w:r>
    </w:p>
    <w:p w14:paraId="67ABAA74" w14:textId="77777777" w:rsidR="00454C2E" w:rsidRPr="00AC1EEC" w:rsidRDefault="00454C2E" w:rsidP="00454C2E">
      <w:pPr>
        <w:rPr>
          <w:rFonts w:asciiTheme="minorHAnsi" w:hAnsiTheme="minorHAnsi" w:cstheme="minorHAnsi"/>
          <w:sz w:val="22"/>
          <w:szCs w:val="22"/>
        </w:rPr>
      </w:pPr>
    </w:p>
    <w:p w14:paraId="1C4B8CF3" w14:textId="3FB71A27" w:rsidR="00454C2E" w:rsidRPr="00AC1EEC" w:rsidRDefault="00454C2E" w:rsidP="00454C2E">
      <w:pPr>
        <w:rPr>
          <w:rFonts w:asciiTheme="minorHAnsi" w:hAnsiTheme="minorHAnsi" w:cstheme="minorHAnsi"/>
          <w:szCs w:val="24"/>
        </w:rPr>
      </w:pPr>
      <w:r w:rsidRPr="00AC1EEC">
        <w:rPr>
          <w:rFonts w:asciiTheme="minorHAnsi" w:hAnsiTheme="minorHAnsi" w:cstheme="minorHAnsi"/>
          <w:b/>
          <w:bCs/>
          <w:szCs w:val="24"/>
        </w:rPr>
        <w:t>Purpose</w:t>
      </w:r>
      <w:r w:rsidRPr="00AC1EEC">
        <w:rPr>
          <w:rFonts w:asciiTheme="minorHAnsi" w:hAnsiTheme="minorHAnsi" w:cstheme="minorHAnsi"/>
          <w:szCs w:val="24"/>
        </w:rPr>
        <w:t xml:space="preserve"> </w:t>
      </w:r>
    </w:p>
    <w:p w14:paraId="6E73273A" w14:textId="77777777" w:rsidR="00454C2E" w:rsidRPr="00AC1EEC" w:rsidRDefault="00454C2E" w:rsidP="00454C2E">
      <w:pPr>
        <w:rPr>
          <w:rFonts w:asciiTheme="minorHAnsi" w:hAnsiTheme="minorHAnsi" w:cstheme="minorHAnsi"/>
          <w:sz w:val="22"/>
          <w:szCs w:val="22"/>
        </w:rPr>
      </w:pPr>
    </w:p>
    <w:p w14:paraId="196AF7CF" w14:textId="52B4CCD6" w:rsidR="00454C2E" w:rsidRPr="00AC1EEC" w:rsidRDefault="00454C2E" w:rsidP="00454C2E">
      <w:pPr>
        <w:rPr>
          <w:rFonts w:asciiTheme="minorHAnsi" w:hAnsiTheme="minorHAnsi" w:cstheme="minorHAnsi"/>
          <w:sz w:val="22"/>
          <w:szCs w:val="22"/>
        </w:rPr>
      </w:pPr>
      <w:r w:rsidRPr="00AC1EEC">
        <w:rPr>
          <w:rFonts w:asciiTheme="minorHAnsi" w:hAnsiTheme="minorHAnsi" w:cstheme="minorHAnsi"/>
          <w:sz w:val="22"/>
          <w:szCs w:val="22"/>
        </w:rPr>
        <w:t xml:space="preserve">To provide strategies or options for the facility to optimize supplies of disposable medical gloves when the facility is experiencing limited supply. </w:t>
      </w:r>
    </w:p>
    <w:p w14:paraId="7D2315D0" w14:textId="77777777" w:rsidR="00454C2E" w:rsidRPr="00AC1EEC" w:rsidRDefault="00454C2E" w:rsidP="00454C2E">
      <w:pPr>
        <w:rPr>
          <w:rFonts w:asciiTheme="minorHAnsi" w:hAnsiTheme="minorHAnsi" w:cstheme="minorHAnsi"/>
          <w:sz w:val="22"/>
          <w:szCs w:val="22"/>
        </w:rPr>
      </w:pPr>
    </w:p>
    <w:p w14:paraId="59591786" w14:textId="77777777" w:rsidR="00454C2E" w:rsidRPr="00AC1EEC" w:rsidRDefault="00454C2E" w:rsidP="00454C2E">
      <w:pPr>
        <w:pStyle w:val="NormalWeb"/>
        <w:shd w:val="clear" w:color="auto" w:fill="FFFFFF"/>
        <w:rPr>
          <w:rFonts w:asciiTheme="minorHAnsi" w:hAnsiTheme="minorHAnsi" w:cstheme="minorHAnsi"/>
          <w:color w:val="000000"/>
          <w:sz w:val="22"/>
          <w:szCs w:val="22"/>
        </w:rPr>
      </w:pPr>
      <w:r w:rsidRPr="00AC1EEC">
        <w:rPr>
          <w:rFonts w:asciiTheme="minorHAnsi" w:hAnsiTheme="minorHAnsi" w:cstheme="minorHAnsi"/>
          <w:sz w:val="22"/>
          <w:szCs w:val="22"/>
        </w:rPr>
        <w:t>“</w:t>
      </w:r>
      <w:r w:rsidRPr="00AC1EEC">
        <w:rPr>
          <w:rFonts w:asciiTheme="minorHAnsi" w:hAnsiTheme="minorHAnsi" w:cstheme="minorHAnsi"/>
          <w:b/>
          <w:bCs/>
          <w:color w:val="000000"/>
          <w:sz w:val="22"/>
          <w:szCs w:val="22"/>
        </w:rPr>
        <w:t>Surge capacity</w:t>
      </w:r>
      <w:r w:rsidRPr="00AC1EEC">
        <w:rPr>
          <w:rFonts w:asciiTheme="minorHAnsi" w:hAnsiTheme="minorHAnsi" w:cstheme="minorHAnsi"/>
          <w:color w:val="000000"/>
          <w:sz w:val="22"/>
          <w:szCs w:val="22"/>
        </w:rPr>
        <w:t> refers to the ability to manage a sudden increase in patient volume that would severely challenge or exceed the present capacity of a facility. While there are no widely accepted measurements or triggers to distinguish surge capacity from daily patient care capacity, surge capacity is a useful framework to approach a decreased supply of gloves during the COVID-19 response. To help healthcare facilities plan and optimize the use of gloves in response to COVID-19, CDC has developed a </w:t>
      </w:r>
      <w:hyperlink r:id="rId8" w:history="1">
        <w:r w:rsidRPr="00AC1EEC">
          <w:rPr>
            <w:rFonts w:asciiTheme="minorHAnsi" w:hAnsiTheme="minorHAnsi" w:cstheme="minorHAnsi"/>
            <w:color w:val="075290"/>
            <w:sz w:val="22"/>
            <w:szCs w:val="22"/>
            <w:u w:val="single"/>
          </w:rPr>
          <w:t>Personal Protective Equipment (PPE) Burn Rate Calculator</w:t>
        </w:r>
      </w:hyperlink>
      <w:r w:rsidRPr="00AC1EEC">
        <w:rPr>
          <w:rFonts w:asciiTheme="minorHAnsi" w:hAnsiTheme="minorHAnsi" w:cstheme="minorHAnsi"/>
          <w:color w:val="000000"/>
          <w:sz w:val="22"/>
          <w:szCs w:val="22"/>
        </w:rPr>
        <w:t>. Three general strata have been used to describe surge capacity and can be used to prioritize measures to conserve glove supplies along the continuum of care.</w:t>
      </w:r>
    </w:p>
    <w:p w14:paraId="49E85761" w14:textId="77777777" w:rsidR="00454C2E" w:rsidRPr="00AC1EEC" w:rsidRDefault="0057516A" w:rsidP="00454C2E">
      <w:pPr>
        <w:numPr>
          <w:ilvl w:val="0"/>
          <w:numId w:val="14"/>
        </w:numPr>
        <w:shd w:val="clear" w:color="auto" w:fill="FFFFFF"/>
        <w:spacing w:before="100" w:beforeAutospacing="1" w:after="100" w:afterAutospacing="1"/>
        <w:rPr>
          <w:rFonts w:asciiTheme="minorHAnsi" w:hAnsiTheme="minorHAnsi" w:cstheme="minorHAnsi"/>
          <w:sz w:val="22"/>
          <w:szCs w:val="22"/>
        </w:rPr>
      </w:pPr>
      <w:hyperlink r:id="rId9" w:anchor="conventional-capacity" w:history="1">
        <w:r w:rsidR="00454C2E" w:rsidRPr="00AC1EEC">
          <w:rPr>
            <w:rFonts w:asciiTheme="minorHAnsi" w:hAnsiTheme="minorHAnsi" w:cstheme="minorHAnsi"/>
            <w:b/>
            <w:bCs/>
            <w:sz w:val="22"/>
            <w:szCs w:val="22"/>
          </w:rPr>
          <w:t>Conventional capacity</w:t>
        </w:r>
      </w:hyperlink>
      <w:r w:rsidR="00454C2E" w:rsidRPr="00AC1EEC">
        <w:rPr>
          <w:rFonts w:asciiTheme="minorHAnsi" w:hAnsiTheme="minorHAnsi" w:cstheme="minorHAnsi"/>
          <w:sz w:val="22"/>
          <w:szCs w:val="22"/>
        </w:rPr>
        <w:t>: measures consisting of engineering, administrative, and personal protective equipment (PPE) controls that should already be implemented in general infection prevention and control plans in healthcare settings.</w:t>
      </w:r>
    </w:p>
    <w:p w14:paraId="716D0D0F" w14:textId="77777777" w:rsidR="00454C2E" w:rsidRPr="00AC1EEC" w:rsidRDefault="0057516A" w:rsidP="00454C2E">
      <w:pPr>
        <w:numPr>
          <w:ilvl w:val="0"/>
          <w:numId w:val="14"/>
        </w:numPr>
        <w:shd w:val="clear" w:color="auto" w:fill="FFFFFF"/>
        <w:spacing w:before="100" w:beforeAutospacing="1" w:after="100" w:afterAutospacing="1"/>
        <w:rPr>
          <w:rFonts w:asciiTheme="minorHAnsi" w:hAnsiTheme="minorHAnsi" w:cstheme="minorHAnsi"/>
          <w:color w:val="000000"/>
          <w:sz w:val="22"/>
          <w:szCs w:val="22"/>
        </w:rPr>
      </w:pPr>
      <w:hyperlink r:id="rId10" w:anchor="contingency-capacity" w:history="1">
        <w:r w:rsidR="00454C2E" w:rsidRPr="00AC1EEC">
          <w:rPr>
            <w:rFonts w:asciiTheme="minorHAnsi" w:hAnsiTheme="minorHAnsi" w:cstheme="minorHAnsi"/>
            <w:b/>
            <w:bCs/>
            <w:sz w:val="22"/>
            <w:szCs w:val="22"/>
          </w:rPr>
          <w:t>Contingency capacity</w:t>
        </w:r>
      </w:hyperlink>
      <w:r w:rsidR="00454C2E" w:rsidRPr="00AC1EEC">
        <w:rPr>
          <w:rFonts w:asciiTheme="minorHAnsi" w:hAnsiTheme="minorHAnsi" w:cstheme="minorHAnsi"/>
          <w:sz w:val="22"/>
          <w:szCs w:val="22"/>
        </w:rPr>
        <w:t xml:space="preserve">: </w:t>
      </w:r>
      <w:r w:rsidR="00454C2E" w:rsidRPr="00AC1EEC">
        <w:rPr>
          <w:rFonts w:asciiTheme="minorHAnsi" w:hAnsiTheme="minorHAnsi" w:cstheme="minorHAnsi"/>
          <w:color w:val="000000"/>
          <w:sz w:val="22"/>
          <w:szCs w:val="22"/>
        </w:rPr>
        <w:t>measure that may be used temporarily during periods of expected glove shortages. Contingency capacity strategies should only be implemented after considering and implementing conventional capacity strategies. While current supply may meet the facility’s current or anticipated </w:t>
      </w:r>
      <w:hyperlink r:id="rId11" w:history="1">
        <w:r w:rsidR="00454C2E" w:rsidRPr="00AC1EEC">
          <w:rPr>
            <w:rFonts w:asciiTheme="minorHAnsi" w:hAnsiTheme="minorHAnsi" w:cstheme="minorHAnsi"/>
            <w:color w:val="075290"/>
            <w:sz w:val="22"/>
            <w:szCs w:val="22"/>
            <w:u w:val="single"/>
          </w:rPr>
          <w:t>utilization rate</w:t>
        </w:r>
      </w:hyperlink>
      <w:r w:rsidR="00454C2E" w:rsidRPr="00AC1EEC">
        <w:rPr>
          <w:rFonts w:asciiTheme="minorHAnsi" w:hAnsiTheme="minorHAnsi" w:cstheme="minorHAnsi"/>
          <w:color w:val="000000"/>
          <w:sz w:val="22"/>
          <w:szCs w:val="22"/>
        </w:rPr>
        <w:t>, there may be uncertainty if future supply will be adequate and, therefore, contingency capacity strategies may be needed.</w:t>
      </w:r>
    </w:p>
    <w:p w14:paraId="7F9AFD12" w14:textId="2C52AFF3" w:rsidR="00454C2E" w:rsidRPr="00AC1EEC" w:rsidRDefault="0057516A" w:rsidP="00454C2E">
      <w:pPr>
        <w:numPr>
          <w:ilvl w:val="0"/>
          <w:numId w:val="14"/>
        </w:numPr>
        <w:shd w:val="clear" w:color="auto" w:fill="FFFFFF"/>
        <w:spacing w:before="100" w:beforeAutospacing="1" w:after="100" w:afterAutospacing="1"/>
        <w:rPr>
          <w:rFonts w:asciiTheme="minorHAnsi" w:hAnsiTheme="minorHAnsi" w:cstheme="minorHAnsi"/>
          <w:color w:val="000000"/>
          <w:sz w:val="22"/>
          <w:szCs w:val="22"/>
        </w:rPr>
      </w:pPr>
      <w:hyperlink r:id="rId12" w:anchor="crisis-capacity" w:history="1">
        <w:r w:rsidR="00454C2E" w:rsidRPr="00AC1EEC">
          <w:rPr>
            <w:rFonts w:asciiTheme="minorHAnsi" w:hAnsiTheme="minorHAnsi" w:cstheme="minorHAnsi"/>
            <w:b/>
            <w:bCs/>
            <w:sz w:val="22"/>
            <w:szCs w:val="22"/>
          </w:rPr>
          <w:t>Crisis capacity</w:t>
        </w:r>
      </w:hyperlink>
      <w:r w:rsidR="00454C2E" w:rsidRPr="00AC1EEC">
        <w:rPr>
          <w:rFonts w:asciiTheme="minorHAnsi" w:hAnsiTheme="minorHAnsi" w:cstheme="minorHAnsi"/>
          <w:b/>
          <w:bCs/>
          <w:sz w:val="22"/>
          <w:szCs w:val="22"/>
        </w:rPr>
        <w:t>:</w:t>
      </w:r>
      <w:r w:rsidR="00454C2E" w:rsidRPr="00AC1EEC">
        <w:rPr>
          <w:rFonts w:asciiTheme="minorHAnsi" w:hAnsiTheme="minorHAnsi" w:cstheme="minorHAnsi"/>
          <w:sz w:val="22"/>
          <w:szCs w:val="22"/>
        </w:rPr>
        <w:t xml:space="preserve"> </w:t>
      </w:r>
      <w:r w:rsidR="00454C2E" w:rsidRPr="00AC1EEC">
        <w:rPr>
          <w:rFonts w:asciiTheme="minorHAnsi" w:hAnsiTheme="minorHAnsi" w:cstheme="minorHAnsi"/>
          <w:color w:val="000000"/>
          <w:sz w:val="22"/>
          <w:szCs w:val="22"/>
        </w:rPr>
        <w:t>strategies that are not commensurate with U.S. standards of care but may need to be considered during periods of known gloves shortages. Crisis capacity strategies should only be implemented after considering and implementing conventional and contingency capacity strategies. Facilities can consider crisis capacity strategies when the supply is not able to meet the facility’s current or anticipated </w:t>
      </w:r>
      <w:hyperlink r:id="rId13" w:history="1">
        <w:r w:rsidR="00454C2E" w:rsidRPr="00AC1EEC">
          <w:rPr>
            <w:rFonts w:asciiTheme="minorHAnsi" w:hAnsiTheme="minorHAnsi" w:cstheme="minorHAnsi"/>
            <w:color w:val="075290"/>
            <w:sz w:val="22"/>
            <w:szCs w:val="22"/>
            <w:u w:val="single"/>
          </w:rPr>
          <w:t>utilization rate</w:t>
        </w:r>
      </w:hyperlink>
      <w:r w:rsidR="00454C2E" w:rsidRPr="00AC1EEC">
        <w:rPr>
          <w:rFonts w:asciiTheme="minorHAnsi" w:hAnsiTheme="minorHAnsi" w:cstheme="minorHAnsi"/>
          <w:color w:val="000000"/>
          <w:sz w:val="22"/>
          <w:szCs w:val="22"/>
        </w:rPr>
        <w:t>.</w:t>
      </w:r>
    </w:p>
    <w:p w14:paraId="5C9A1D30" w14:textId="75222F2D" w:rsidR="00454C2E" w:rsidRPr="00AC1EEC" w:rsidRDefault="00454C2E" w:rsidP="00454C2E">
      <w:pPr>
        <w:rPr>
          <w:rFonts w:asciiTheme="minorHAnsi" w:hAnsiTheme="minorHAnsi" w:cstheme="minorHAnsi"/>
          <w:color w:val="000000"/>
          <w:sz w:val="22"/>
          <w:szCs w:val="22"/>
          <w:shd w:val="clear" w:color="auto" w:fill="FFFFFF"/>
        </w:rPr>
      </w:pPr>
      <w:r w:rsidRPr="00AC1EEC">
        <w:rPr>
          <w:rFonts w:asciiTheme="minorHAnsi" w:hAnsiTheme="minorHAnsi" w:cstheme="minorHAnsi"/>
          <w:color w:val="000000"/>
          <w:sz w:val="22"/>
          <w:szCs w:val="22"/>
          <w:shd w:val="clear" w:color="auto" w:fill="FFFFFF"/>
        </w:rPr>
        <w:t>CDC’s optimization strategies for glove supply offer a continuum of options for use when glove supplies are stressed, running low, or exhausted. Contingency and then crisis capacity measures augment conventional capacity measures and are meant to be considered and </w:t>
      </w:r>
      <w:r w:rsidRPr="00AC1EEC">
        <w:rPr>
          <w:rStyle w:val="Strong"/>
          <w:rFonts w:asciiTheme="minorHAnsi" w:hAnsiTheme="minorHAnsi" w:cstheme="minorHAnsi"/>
          <w:color w:val="000000"/>
          <w:sz w:val="22"/>
          <w:szCs w:val="22"/>
          <w:shd w:val="clear" w:color="auto" w:fill="FFFFFF"/>
        </w:rPr>
        <w:t>implemented sequentially</w:t>
      </w:r>
      <w:r w:rsidRPr="00AC1EEC">
        <w:rPr>
          <w:rFonts w:asciiTheme="minorHAnsi" w:hAnsiTheme="minorHAnsi" w:cstheme="minorHAnsi"/>
          <w:color w:val="000000"/>
          <w:sz w:val="22"/>
          <w:szCs w:val="22"/>
          <w:shd w:val="clear" w:color="auto" w:fill="FFFFFF"/>
        </w:rPr>
        <w:t>. Once glove availability returns to normal, healthcare facilities should promptly resume standard practices.</w:t>
      </w:r>
    </w:p>
    <w:p w14:paraId="457A0517" w14:textId="77777777" w:rsidR="007E628F" w:rsidRPr="00AC1EEC" w:rsidRDefault="007E628F" w:rsidP="00454C2E">
      <w:pPr>
        <w:rPr>
          <w:rFonts w:asciiTheme="minorHAnsi" w:hAnsiTheme="minorHAnsi" w:cstheme="minorHAnsi"/>
          <w:color w:val="000000"/>
          <w:sz w:val="22"/>
          <w:szCs w:val="22"/>
          <w:shd w:val="clear" w:color="auto" w:fill="FFFFFF"/>
        </w:rPr>
      </w:pPr>
    </w:p>
    <w:p w14:paraId="5E821111" w14:textId="77777777" w:rsidR="00933CDE" w:rsidRDefault="00933CDE">
      <w:pPr>
        <w:spacing w:after="160" w:line="259" w:lineRule="auto"/>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1F5E9806" w14:textId="67EBDCCA" w:rsidR="00454C2E" w:rsidRPr="00AC1EEC" w:rsidRDefault="00454C2E" w:rsidP="00454C2E">
      <w:pPr>
        <w:shd w:val="clear" w:color="auto" w:fill="FFFFFF"/>
        <w:spacing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lastRenderedPageBreak/>
        <w:t>Decisions to implement contingency and crisis strategies are based upon these assumptions:</w:t>
      </w:r>
    </w:p>
    <w:p w14:paraId="0AFAF301" w14:textId="77777777" w:rsidR="00454C2E" w:rsidRPr="00AC1EEC" w:rsidRDefault="00454C2E" w:rsidP="00454C2E">
      <w:pPr>
        <w:numPr>
          <w:ilvl w:val="0"/>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 xml:space="preserve">Facilities understand their current glove inventory and supply </w:t>
      </w:r>
      <w:proofErr w:type="gramStart"/>
      <w:r w:rsidRPr="00AC1EEC">
        <w:rPr>
          <w:rFonts w:asciiTheme="minorHAnsi" w:hAnsiTheme="minorHAnsi" w:cstheme="minorHAnsi"/>
          <w:color w:val="000000"/>
          <w:sz w:val="22"/>
          <w:szCs w:val="22"/>
        </w:rPr>
        <w:t>chain</w:t>
      </w:r>
      <w:proofErr w:type="gramEnd"/>
    </w:p>
    <w:p w14:paraId="58491227" w14:textId="77777777" w:rsidR="00454C2E" w:rsidRPr="00AC1EEC" w:rsidRDefault="00454C2E" w:rsidP="00454C2E">
      <w:pPr>
        <w:numPr>
          <w:ilvl w:val="0"/>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Facilities understand their glove </w:t>
      </w:r>
      <w:hyperlink r:id="rId14" w:history="1">
        <w:r w:rsidRPr="00AC1EEC">
          <w:rPr>
            <w:rFonts w:asciiTheme="minorHAnsi" w:hAnsiTheme="minorHAnsi" w:cstheme="minorHAnsi"/>
            <w:color w:val="075290"/>
            <w:sz w:val="22"/>
            <w:szCs w:val="22"/>
            <w:u w:val="single"/>
          </w:rPr>
          <w:t>utilization rate</w:t>
        </w:r>
      </w:hyperlink>
    </w:p>
    <w:p w14:paraId="064A4321" w14:textId="77777777" w:rsidR="00454C2E" w:rsidRPr="00AC1EEC" w:rsidRDefault="00454C2E" w:rsidP="00454C2E">
      <w:pPr>
        <w:numPr>
          <w:ilvl w:val="0"/>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 xml:space="preserve">Facilities are in communication with local healthcare coalitions and federal, state, and local public health partners (e.g., public health emergency preparedness and response staff) to identify additional </w:t>
      </w:r>
      <w:proofErr w:type="gramStart"/>
      <w:r w:rsidRPr="00AC1EEC">
        <w:rPr>
          <w:rFonts w:asciiTheme="minorHAnsi" w:hAnsiTheme="minorHAnsi" w:cstheme="minorHAnsi"/>
          <w:color w:val="000000"/>
          <w:sz w:val="22"/>
          <w:szCs w:val="22"/>
        </w:rPr>
        <w:t>supplies</w:t>
      </w:r>
      <w:proofErr w:type="gramEnd"/>
    </w:p>
    <w:p w14:paraId="69FDFE1C" w14:textId="77777777" w:rsidR="00454C2E" w:rsidRPr="00AC1EEC" w:rsidRDefault="00454C2E" w:rsidP="00454C2E">
      <w:pPr>
        <w:numPr>
          <w:ilvl w:val="0"/>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Facilities have already implemented other </w:t>
      </w:r>
      <w:hyperlink r:id="rId15" w:history="1">
        <w:r w:rsidRPr="00AC1EEC">
          <w:rPr>
            <w:rFonts w:asciiTheme="minorHAnsi" w:hAnsiTheme="minorHAnsi" w:cstheme="minorHAnsi"/>
            <w:color w:val="075290"/>
            <w:sz w:val="22"/>
            <w:szCs w:val="22"/>
            <w:u w:val="single"/>
          </w:rPr>
          <w:t>engineering and administrative control measures</w:t>
        </w:r>
      </w:hyperlink>
      <w:r w:rsidRPr="00AC1EEC">
        <w:rPr>
          <w:rFonts w:asciiTheme="minorHAnsi" w:hAnsiTheme="minorHAnsi" w:cstheme="minorHAnsi"/>
          <w:color w:val="000000"/>
          <w:sz w:val="22"/>
          <w:szCs w:val="22"/>
        </w:rPr>
        <w:t> including:</w:t>
      </w:r>
    </w:p>
    <w:p w14:paraId="500A700E" w14:textId="77777777" w:rsidR="00454C2E" w:rsidRPr="00AC1EEC" w:rsidRDefault="00454C2E" w:rsidP="00454C2E">
      <w:pPr>
        <w:numPr>
          <w:ilvl w:val="1"/>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 xml:space="preserve">Use physical barriers and other engineering </w:t>
      </w:r>
      <w:proofErr w:type="gramStart"/>
      <w:r w:rsidRPr="00AC1EEC">
        <w:rPr>
          <w:rFonts w:asciiTheme="minorHAnsi" w:hAnsiTheme="minorHAnsi" w:cstheme="minorHAnsi"/>
          <w:color w:val="000000"/>
          <w:sz w:val="22"/>
          <w:szCs w:val="22"/>
        </w:rPr>
        <w:t>controls</w:t>
      </w:r>
      <w:proofErr w:type="gramEnd"/>
    </w:p>
    <w:p w14:paraId="3B79BAE7" w14:textId="77777777" w:rsidR="00454C2E" w:rsidRPr="00AC1EEC" w:rsidRDefault="00454C2E" w:rsidP="00454C2E">
      <w:pPr>
        <w:numPr>
          <w:ilvl w:val="1"/>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 xml:space="preserve">Limit number of patients going to hospital or outpatient </w:t>
      </w:r>
      <w:proofErr w:type="gramStart"/>
      <w:r w:rsidRPr="00AC1EEC">
        <w:rPr>
          <w:rFonts w:asciiTheme="minorHAnsi" w:hAnsiTheme="minorHAnsi" w:cstheme="minorHAnsi"/>
          <w:color w:val="000000"/>
          <w:sz w:val="22"/>
          <w:szCs w:val="22"/>
        </w:rPr>
        <w:t>settings</w:t>
      </w:r>
      <w:proofErr w:type="gramEnd"/>
    </w:p>
    <w:p w14:paraId="48040663" w14:textId="77777777" w:rsidR="00454C2E" w:rsidRPr="00AC1EEC" w:rsidRDefault="00454C2E" w:rsidP="00454C2E">
      <w:pPr>
        <w:numPr>
          <w:ilvl w:val="1"/>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 xml:space="preserve">Use telemedicine whenever </w:t>
      </w:r>
      <w:proofErr w:type="gramStart"/>
      <w:r w:rsidRPr="00AC1EEC">
        <w:rPr>
          <w:rFonts w:asciiTheme="minorHAnsi" w:hAnsiTheme="minorHAnsi" w:cstheme="minorHAnsi"/>
          <w:color w:val="000000"/>
          <w:sz w:val="22"/>
          <w:szCs w:val="22"/>
        </w:rPr>
        <w:t>possible</w:t>
      </w:r>
      <w:proofErr w:type="gramEnd"/>
    </w:p>
    <w:p w14:paraId="5D75CEF7" w14:textId="77777777" w:rsidR="00454C2E" w:rsidRPr="00AC1EEC" w:rsidRDefault="00454C2E" w:rsidP="00454C2E">
      <w:pPr>
        <w:numPr>
          <w:ilvl w:val="1"/>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 xml:space="preserve">Exclude all HCP not directly involved in patient </w:t>
      </w:r>
      <w:proofErr w:type="gramStart"/>
      <w:r w:rsidRPr="00AC1EEC">
        <w:rPr>
          <w:rFonts w:asciiTheme="minorHAnsi" w:hAnsiTheme="minorHAnsi" w:cstheme="minorHAnsi"/>
          <w:color w:val="000000"/>
          <w:sz w:val="22"/>
          <w:szCs w:val="22"/>
        </w:rPr>
        <w:t>care</w:t>
      </w:r>
      <w:proofErr w:type="gramEnd"/>
    </w:p>
    <w:p w14:paraId="0B91D31E" w14:textId="77777777" w:rsidR="00454C2E" w:rsidRPr="00AC1EEC" w:rsidRDefault="00454C2E" w:rsidP="00454C2E">
      <w:pPr>
        <w:numPr>
          <w:ilvl w:val="1"/>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 xml:space="preserve">Limit face-to-face HCP encounters with </w:t>
      </w:r>
      <w:proofErr w:type="gramStart"/>
      <w:r w:rsidRPr="00AC1EEC">
        <w:rPr>
          <w:rFonts w:asciiTheme="minorHAnsi" w:hAnsiTheme="minorHAnsi" w:cstheme="minorHAnsi"/>
          <w:color w:val="000000"/>
          <w:sz w:val="22"/>
          <w:szCs w:val="22"/>
        </w:rPr>
        <w:t>patients</w:t>
      </w:r>
      <w:proofErr w:type="gramEnd"/>
    </w:p>
    <w:p w14:paraId="745CE343" w14:textId="77777777" w:rsidR="00454C2E" w:rsidRPr="00AC1EEC" w:rsidRDefault="00454C2E" w:rsidP="00454C2E">
      <w:pPr>
        <w:numPr>
          <w:ilvl w:val="1"/>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Exclude visitors to patients with known or suspected COVID-</w:t>
      </w:r>
      <w:proofErr w:type="gramStart"/>
      <w:r w:rsidRPr="00AC1EEC">
        <w:rPr>
          <w:rFonts w:asciiTheme="minorHAnsi" w:hAnsiTheme="minorHAnsi" w:cstheme="minorHAnsi"/>
          <w:color w:val="000000"/>
          <w:sz w:val="22"/>
          <w:szCs w:val="22"/>
        </w:rPr>
        <w:t>19</w:t>
      </w:r>
      <w:proofErr w:type="gramEnd"/>
    </w:p>
    <w:p w14:paraId="2A87787A" w14:textId="77777777" w:rsidR="00454C2E" w:rsidRPr="00AC1EEC" w:rsidRDefault="00454C2E" w:rsidP="00454C2E">
      <w:pPr>
        <w:numPr>
          <w:ilvl w:val="1"/>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Cohort patients and/or HCP</w:t>
      </w:r>
    </w:p>
    <w:p w14:paraId="2A25B2F8" w14:textId="77777777" w:rsidR="00454C2E" w:rsidRPr="00AC1EEC" w:rsidRDefault="00454C2E" w:rsidP="00454C2E">
      <w:pPr>
        <w:numPr>
          <w:ilvl w:val="0"/>
          <w:numId w:val="10"/>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Facilities have provided HCP with required education and training, including having them demonstrate competency with </w:t>
      </w:r>
      <w:hyperlink r:id="rId16" w:history="1">
        <w:r w:rsidRPr="00AC1EEC">
          <w:rPr>
            <w:rFonts w:asciiTheme="minorHAnsi" w:hAnsiTheme="minorHAnsi" w:cstheme="minorHAnsi"/>
            <w:color w:val="075290"/>
            <w:sz w:val="22"/>
            <w:szCs w:val="22"/>
            <w:u w:val="single"/>
          </w:rPr>
          <w:t>donning</w:t>
        </w:r>
      </w:hyperlink>
      <w:r w:rsidRPr="00AC1EEC">
        <w:rPr>
          <w:rFonts w:asciiTheme="minorHAnsi" w:hAnsiTheme="minorHAnsi" w:cstheme="minorHAnsi"/>
          <w:color w:val="000000"/>
          <w:sz w:val="22"/>
          <w:szCs w:val="22"/>
        </w:rPr>
        <w:t> and </w:t>
      </w:r>
      <w:hyperlink r:id="rId17" w:history="1">
        <w:r w:rsidRPr="00AC1EEC">
          <w:rPr>
            <w:rFonts w:asciiTheme="minorHAnsi" w:hAnsiTheme="minorHAnsi" w:cstheme="minorHAnsi"/>
            <w:color w:val="075290"/>
            <w:sz w:val="22"/>
            <w:szCs w:val="22"/>
            <w:u w:val="single"/>
          </w:rPr>
          <w:t>doffing</w:t>
        </w:r>
      </w:hyperlink>
      <w:r w:rsidRPr="00AC1EEC">
        <w:rPr>
          <w:rFonts w:asciiTheme="minorHAnsi" w:hAnsiTheme="minorHAnsi" w:cstheme="minorHAnsi"/>
          <w:color w:val="000000"/>
          <w:sz w:val="22"/>
          <w:szCs w:val="22"/>
        </w:rPr>
        <w:t>, with any PPE ensemble that is used to perform job responsibilities, such as provision of patient care</w:t>
      </w:r>
    </w:p>
    <w:p w14:paraId="034F94FC" w14:textId="217CA90B" w:rsidR="00454C2E" w:rsidRPr="00AC1EEC" w:rsidRDefault="00454C2E" w:rsidP="00454C2E">
      <w:pPr>
        <w:shd w:val="clear" w:color="auto" w:fill="FFFFFF"/>
        <w:spacing w:after="100" w:afterAutospacing="1"/>
        <w:rPr>
          <w:rFonts w:asciiTheme="minorHAnsi" w:hAnsiTheme="minorHAnsi" w:cstheme="minorHAnsi"/>
          <w:color w:val="000000"/>
          <w:sz w:val="22"/>
          <w:szCs w:val="22"/>
        </w:rPr>
      </w:pPr>
      <w:r w:rsidRPr="00AC1EEC">
        <w:rPr>
          <w:rFonts w:asciiTheme="minorHAnsi" w:hAnsiTheme="minorHAnsi" w:cstheme="minorHAnsi"/>
          <w:b/>
          <w:bCs/>
          <w:color w:val="000000"/>
          <w:sz w:val="22"/>
          <w:szCs w:val="22"/>
        </w:rPr>
        <w:t>Once availability of gloves returns to normal, healthcare facilities should promptly resume conventional practices. </w:t>
      </w:r>
      <w:r w:rsidRPr="00AC1EEC">
        <w:rPr>
          <w:rFonts w:asciiTheme="minorHAnsi" w:hAnsiTheme="minorHAnsi" w:cstheme="minorHAnsi"/>
          <w:color w:val="000000"/>
          <w:sz w:val="22"/>
          <w:szCs w:val="22"/>
        </w:rPr>
        <w:t>Determining the appropriate time to return to conventional strategies can be challenging. Considerations affecting this decision include:</w:t>
      </w:r>
    </w:p>
    <w:p w14:paraId="25D89E87" w14:textId="77777777" w:rsidR="007E628F" w:rsidRPr="00AC1EEC" w:rsidRDefault="007E628F" w:rsidP="007E628F">
      <w:pPr>
        <w:numPr>
          <w:ilvl w:val="0"/>
          <w:numId w:val="11"/>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 xml:space="preserve">the anticipated number of patients for whom gloves should be worn by HCP providing their </w:t>
      </w:r>
      <w:proofErr w:type="gramStart"/>
      <w:r w:rsidRPr="00AC1EEC">
        <w:rPr>
          <w:rFonts w:asciiTheme="minorHAnsi" w:hAnsiTheme="minorHAnsi" w:cstheme="minorHAnsi"/>
          <w:color w:val="000000"/>
          <w:sz w:val="22"/>
          <w:szCs w:val="22"/>
        </w:rPr>
        <w:t>care</w:t>
      </w:r>
      <w:proofErr w:type="gramEnd"/>
    </w:p>
    <w:p w14:paraId="024663F5" w14:textId="77777777" w:rsidR="007E628F" w:rsidRPr="00AC1EEC" w:rsidRDefault="007E628F" w:rsidP="007E628F">
      <w:pPr>
        <w:numPr>
          <w:ilvl w:val="0"/>
          <w:numId w:val="11"/>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 xml:space="preserve">the number of days’ supply of gloves currently remaining at the </w:t>
      </w:r>
      <w:proofErr w:type="gramStart"/>
      <w:r w:rsidRPr="00AC1EEC">
        <w:rPr>
          <w:rFonts w:asciiTheme="minorHAnsi" w:hAnsiTheme="minorHAnsi" w:cstheme="minorHAnsi"/>
          <w:color w:val="000000"/>
          <w:sz w:val="22"/>
          <w:szCs w:val="22"/>
        </w:rPr>
        <w:t>facility</w:t>
      </w:r>
      <w:proofErr w:type="gramEnd"/>
    </w:p>
    <w:p w14:paraId="6AB973EE" w14:textId="4CD178DB" w:rsidR="00454C2E" w:rsidRPr="00AC1EEC" w:rsidRDefault="007E628F" w:rsidP="007E628F">
      <w:pPr>
        <w:numPr>
          <w:ilvl w:val="0"/>
          <w:numId w:val="11"/>
        </w:numPr>
        <w:shd w:val="clear" w:color="auto" w:fill="FFFFFF"/>
        <w:spacing w:before="100" w:beforeAutospacing="1" w:after="100"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whether or not the facility is receiving regular resupply with its full allotment.</w:t>
      </w:r>
      <w:r w:rsidR="00454C2E" w:rsidRPr="00AC1EEC">
        <w:rPr>
          <w:rFonts w:asciiTheme="minorHAnsi" w:hAnsiTheme="minorHAnsi" w:cstheme="minorHAnsi"/>
          <w:color w:val="000000"/>
          <w:sz w:val="22"/>
          <w:szCs w:val="22"/>
        </w:rPr>
        <w:t>”</w:t>
      </w:r>
      <w:r w:rsidR="00454C2E" w:rsidRPr="00AC1EEC">
        <w:rPr>
          <w:rFonts w:asciiTheme="minorHAnsi" w:hAnsiTheme="minorHAnsi" w:cstheme="minorHAnsi"/>
          <w:color w:val="000000"/>
          <w:sz w:val="22"/>
          <w:szCs w:val="22"/>
          <w:vertAlign w:val="superscript"/>
        </w:rPr>
        <w:t>1</w:t>
      </w:r>
    </w:p>
    <w:p w14:paraId="67A14F45" w14:textId="115E4D31" w:rsidR="00454C2E" w:rsidRPr="00AC1EEC" w:rsidRDefault="00454C2E" w:rsidP="00454C2E">
      <w:pPr>
        <w:rPr>
          <w:rFonts w:asciiTheme="minorHAnsi" w:hAnsiTheme="minorHAnsi" w:cstheme="minorHAnsi"/>
          <w:szCs w:val="24"/>
        </w:rPr>
      </w:pPr>
      <w:r w:rsidRPr="00AC1EEC">
        <w:rPr>
          <w:rFonts w:asciiTheme="minorHAnsi" w:hAnsiTheme="minorHAnsi" w:cstheme="minorHAnsi"/>
          <w:b/>
          <w:bCs/>
          <w:szCs w:val="24"/>
        </w:rPr>
        <w:t>Procedure for Optimizing the Supply of Gloves</w:t>
      </w:r>
      <w:r w:rsidRPr="00AC1EEC">
        <w:rPr>
          <w:rFonts w:asciiTheme="minorHAnsi" w:hAnsiTheme="minorHAnsi" w:cstheme="minorHAnsi"/>
          <w:szCs w:val="24"/>
        </w:rPr>
        <w:t xml:space="preserve"> </w:t>
      </w:r>
    </w:p>
    <w:p w14:paraId="420101F7" w14:textId="3BB53EEA" w:rsidR="007E628F" w:rsidRPr="00AC1EEC" w:rsidRDefault="007E628F" w:rsidP="00454C2E">
      <w:pPr>
        <w:rPr>
          <w:rFonts w:asciiTheme="minorHAnsi" w:hAnsiTheme="minorHAnsi" w:cstheme="minorHAnsi"/>
          <w:sz w:val="22"/>
          <w:szCs w:val="22"/>
        </w:rPr>
      </w:pPr>
    </w:p>
    <w:p w14:paraId="333B7D36" w14:textId="00917199" w:rsidR="007E628F" w:rsidRPr="00AC1EEC" w:rsidRDefault="007E628F" w:rsidP="007E628F">
      <w:pPr>
        <w:pStyle w:val="ListParagraph"/>
        <w:numPr>
          <w:ilvl w:val="0"/>
          <w:numId w:val="16"/>
        </w:numPr>
        <w:rPr>
          <w:rFonts w:asciiTheme="minorHAnsi" w:hAnsiTheme="minorHAnsi" w:cstheme="minorHAnsi"/>
          <w:sz w:val="22"/>
          <w:szCs w:val="22"/>
        </w:rPr>
      </w:pPr>
      <w:r w:rsidRPr="00AC1EEC">
        <w:rPr>
          <w:rFonts w:asciiTheme="minorHAnsi" w:hAnsiTheme="minorHAnsi" w:cstheme="minorHAnsi"/>
          <w:sz w:val="22"/>
          <w:szCs w:val="22"/>
        </w:rPr>
        <w:t>Complete a review of current and future PPE needs utilizing a process such as the PPE Burn Rate Calculator.</w:t>
      </w:r>
    </w:p>
    <w:p w14:paraId="66BFA883" w14:textId="637FB68D" w:rsidR="007E628F" w:rsidRPr="00AC1EEC" w:rsidRDefault="007E628F" w:rsidP="007E628F">
      <w:pPr>
        <w:pStyle w:val="ListParagraph"/>
        <w:numPr>
          <w:ilvl w:val="0"/>
          <w:numId w:val="16"/>
        </w:numPr>
        <w:rPr>
          <w:rFonts w:asciiTheme="minorHAnsi" w:hAnsiTheme="minorHAnsi" w:cstheme="minorHAnsi"/>
          <w:sz w:val="22"/>
          <w:szCs w:val="22"/>
        </w:rPr>
      </w:pPr>
      <w:r w:rsidRPr="00AC1EEC">
        <w:rPr>
          <w:rFonts w:asciiTheme="minorHAnsi" w:hAnsiTheme="minorHAnsi" w:cstheme="minorHAnsi"/>
          <w:sz w:val="22"/>
          <w:szCs w:val="22"/>
        </w:rPr>
        <w:t>The DON, Infection Preventionist and Administration will determine and communicate to all staff conventional, contingency or crisis capacity.</w:t>
      </w:r>
    </w:p>
    <w:p w14:paraId="16E3F766" w14:textId="7871A519" w:rsidR="007E628F" w:rsidRPr="00AC1EEC" w:rsidRDefault="007E628F" w:rsidP="009B6871">
      <w:pPr>
        <w:pStyle w:val="ListParagraph"/>
        <w:numPr>
          <w:ilvl w:val="1"/>
          <w:numId w:val="16"/>
        </w:numPr>
        <w:rPr>
          <w:rFonts w:asciiTheme="minorHAnsi" w:hAnsiTheme="minorHAnsi" w:cstheme="minorHAnsi"/>
          <w:sz w:val="22"/>
          <w:szCs w:val="22"/>
        </w:rPr>
      </w:pPr>
      <w:r w:rsidRPr="00AC1EEC">
        <w:rPr>
          <w:rFonts w:asciiTheme="minorHAnsi" w:hAnsiTheme="minorHAnsi" w:cstheme="minorHAnsi"/>
          <w:b/>
          <w:bCs/>
          <w:sz w:val="22"/>
          <w:szCs w:val="22"/>
        </w:rPr>
        <w:t>Conventional Capacity</w:t>
      </w:r>
      <w:r w:rsidRPr="00AC1EEC">
        <w:rPr>
          <w:rFonts w:asciiTheme="minorHAnsi" w:hAnsiTheme="minorHAnsi" w:cstheme="minorHAnsi"/>
          <w:sz w:val="22"/>
          <w:szCs w:val="22"/>
        </w:rPr>
        <w:t>:  Provide resident care using conventional glove use:</w:t>
      </w:r>
    </w:p>
    <w:p w14:paraId="772DCCE7" w14:textId="6752AF9F" w:rsidR="007E628F" w:rsidRPr="00AC1EEC" w:rsidRDefault="007E628F" w:rsidP="009B6871">
      <w:pPr>
        <w:pStyle w:val="ListParagraph"/>
        <w:numPr>
          <w:ilvl w:val="2"/>
          <w:numId w:val="16"/>
        </w:numPr>
        <w:rPr>
          <w:rFonts w:asciiTheme="minorHAnsi" w:hAnsiTheme="minorHAnsi" w:cstheme="minorHAnsi"/>
          <w:sz w:val="22"/>
          <w:szCs w:val="22"/>
        </w:rPr>
      </w:pPr>
      <w:r w:rsidRPr="00AC1EEC">
        <w:rPr>
          <w:rFonts w:asciiTheme="minorHAnsi" w:hAnsiTheme="minorHAnsi" w:cstheme="minorHAnsi"/>
          <w:sz w:val="22"/>
          <w:szCs w:val="22"/>
        </w:rPr>
        <w:t>FDA-cleared disposable gloves consistent with standard and transmission-based precautions and when cleaning and disinfecting equipment or environment</w:t>
      </w:r>
    </w:p>
    <w:p w14:paraId="6A28567A" w14:textId="40D0DEDB" w:rsidR="007E628F" w:rsidRPr="00AC1EEC" w:rsidRDefault="007E628F" w:rsidP="009B6871">
      <w:pPr>
        <w:pStyle w:val="ListParagraph"/>
        <w:numPr>
          <w:ilvl w:val="2"/>
          <w:numId w:val="16"/>
        </w:numPr>
        <w:rPr>
          <w:rFonts w:asciiTheme="minorHAnsi" w:hAnsiTheme="minorHAnsi" w:cstheme="minorHAnsi"/>
          <w:sz w:val="22"/>
          <w:szCs w:val="22"/>
        </w:rPr>
      </w:pPr>
      <w:r w:rsidRPr="00AC1EEC">
        <w:rPr>
          <w:rFonts w:asciiTheme="minorHAnsi" w:hAnsiTheme="minorHAnsi" w:cstheme="minorHAnsi"/>
          <w:sz w:val="22"/>
          <w:szCs w:val="22"/>
        </w:rPr>
        <w:t>Sterile gloves for sterile procedures</w:t>
      </w:r>
    </w:p>
    <w:p w14:paraId="280247BC" w14:textId="489AB80B" w:rsidR="007E628F" w:rsidRPr="00AC1EEC" w:rsidRDefault="007E628F" w:rsidP="009B6871">
      <w:pPr>
        <w:pStyle w:val="ListParagraph"/>
        <w:numPr>
          <w:ilvl w:val="2"/>
          <w:numId w:val="16"/>
        </w:numPr>
        <w:rPr>
          <w:rFonts w:asciiTheme="minorHAnsi" w:hAnsiTheme="minorHAnsi" w:cstheme="minorHAnsi"/>
          <w:sz w:val="22"/>
          <w:szCs w:val="22"/>
        </w:rPr>
      </w:pPr>
      <w:r w:rsidRPr="00AC1EEC">
        <w:rPr>
          <w:rFonts w:asciiTheme="minorHAnsi" w:hAnsiTheme="minorHAnsi" w:cstheme="minorHAnsi"/>
          <w:sz w:val="22"/>
          <w:szCs w:val="22"/>
        </w:rPr>
        <w:t xml:space="preserve">Medical gloves for handling any chemotherapy or hazardous </w:t>
      </w:r>
      <w:proofErr w:type="gramStart"/>
      <w:r w:rsidRPr="00AC1EEC">
        <w:rPr>
          <w:rFonts w:asciiTheme="minorHAnsi" w:hAnsiTheme="minorHAnsi" w:cstheme="minorHAnsi"/>
          <w:sz w:val="22"/>
          <w:szCs w:val="22"/>
        </w:rPr>
        <w:t>drugs</w:t>
      </w:r>
      <w:proofErr w:type="gramEnd"/>
    </w:p>
    <w:p w14:paraId="72935788" w14:textId="371F228C" w:rsidR="007E628F" w:rsidRPr="00AC1EEC" w:rsidRDefault="007E628F" w:rsidP="009B6871">
      <w:pPr>
        <w:pStyle w:val="ListParagraph"/>
        <w:numPr>
          <w:ilvl w:val="2"/>
          <w:numId w:val="16"/>
        </w:numPr>
        <w:rPr>
          <w:rFonts w:asciiTheme="minorHAnsi" w:hAnsiTheme="minorHAnsi" w:cstheme="minorHAnsi"/>
          <w:sz w:val="22"/>
          <w:szCs w:val="22"/>
        </w:rPr>
      </w:pPr>
      <w:r w:rsidRPr="00AC1EEC">
        <w:rPr>
          <w:rFonts w:asciiTheme="minorHAnsi" w:hAnsiTheme="minorHAnsi" w:cstheme="minorHAnsi"/>
          <w:sz w:val="22"/>
          <w:szCs w:val="22"/>
        </w:rPr>
        <w:t>Double gloves are not recommended by CDC when care is provided to residents with suspected or confirmed COVID-</w:t>
      </w:r>
      <w:proofErr w:type="gramStart"/>
      <w:r w:rsidRPr="00AC1EEC">
        <w:rPr>
          <w:rFonts w:asciiTheme="minorHAnsi" w:hAnsiTheme="minorHAnsi" w:cstheme="minorHAnsi"/>
          <w:sz w:val="22"/>
          <w:szCs w:val="22"/>
        </w:rPr>
        <w:t>19</w:t>
      </w:r>
      <w:proofErr w:type="gramEnd"/>
    </w:p>
    <w:p w14:paraId="407D28B4" w14:textId="60411BAE" w:rsidR="007E628F" w:rsidRPr="00AC1EEC" w:rsidRDefault="007E628F" w:rsidP="009B6871">
      <w:pPr>
        <w:pStyle w:val="ListParagraph"/>
        <w:numPr>
          <w:ilvl w:val="1"/>
          <w:numId w:val="16"/>
        </w:numPr>
        <w:rPr>
          <w:rFonts w:asciiTheme="minorHAnsi" w:hAnsiTheme="minorHAnsi" w:cstheme="minorHAnsi"/>
          <w:b/>
          <w:bCs/>
          <w:sz w:val="22"/>
          <w:szCs w:val="22"/>
        </w:rPr>
      </w:pPr>
      <w:r w:rsidRPr="00AC1EEC">
        <w:rPr>
          <w:rFonts w:asciiTheme="minorHAnsi" w:hAnsiTheme="minorHAnsi" w:cstheme="minorHAnsi"/>
          <w:b/>
          <w:bCs/>
          <w:sz w:val="22"/>
          <w:szCs w:val="22"/>
        </w:rPr>
        <w:t xml:space="preserve">Contingency Capacity:  </w:t>
      </w:r>
    </w:p>
    <w:p w14:paraId="3CCFCC59" w14:textId="14466103" w:rsidR="007E628F" w:rsidRPr="00AC1EEC" w:rsidRDefault="007E628F" w:rsidP="009B6871">
      <w:pPr>
        <w:pStyle w:val="ListParagraph"/>
        <w:numPr>
          <w:ilvl w:val="2"/>
          <w:numId w:val="16"/>
        </w:numPr>
        <w:rPr>
          <w:rFonts w:asciiTheme="minorHAnsi" w:hAnsiTheme="minorHAnsi" w:cstheme="minorHAnsi"/>
          <w:b/>
          <w:bCs/>
          <w:sz w:val="22"/>
          <w:szCs w:val="22"/>
        </w:rPr>
      </w:pPr>
      <w:r w:rsidRPr="00AC1EEC">
        <w:rPr>
          <w:rFonts w:asciiTheme="minorHAnsi" w:hAnsiTheme="minorHAnsi" w:cstheme="minorHAnsi"/>
          <w:sz w:val="22"/>
          <w:szCs w:val="22"/>
        </w:rPr>
        <w:t xml:space="preserve">Elective and non-urgent procedures that require glove use can be canceled if </w:t>
      </w:r>
      <w:proofErr w:type="gramStart"/>
      <w:r w:rsidRPr="00AC1EEC">
        <w:rPr>
          <w:rFonts w:asciiTheme="minorHAnsi" w:hAnsiTheme="minorHAnsi" w:cstheme="minorHAnsi"/>
          <w:sz w:val="22"/>
          <w:szCs w:val="22"/>
        </w:rPr>
        <w:t>indicated</w:t>
      </w:r>
      <w:proofErr w:type="gramEnd"/>
    </w:p>
    <w:p w14:paraId="6B046776" w14:textId="5791D851" w:rsidR="007E628F" w:rsidRPr="00AC1EEC" w:rsidRDefault="009B6871" w:rsidP="009B6871">
      <w:pPr>
        <w:pStyle w:val="ListParagraph"/>
        <w:numPr>
          <w:ilvl w:val="2"/>
          <w:numId w:val="16"/>
        </w:numPr>
        <w:rPr>
          <w:rFonts w:asciiTheme="minorHAnsi" w:hAnsiTheme="minorHAnsi" w:cstheme="minorHAnsi"/>
          <w:b/>
          <w:bCs/>
          <w:sz w:val="22"/>
          <w:szCs w:val="22"/>
        </w:rPr>
      </w:pPr>
      <w:r w:rsidRPr="00AC1EEC">
        <w:rPr>
          <w:rFonts w:asciiTheme="minorHAnsi" w:hAnsiTheme="minorHAnsi" w:cstheme="minorHAnsi"/>
          <w:sz w:val="22"/>
          <w:szCs w:val="22"/>
        </w:rPr>
        <w:lastRenderedPageBreak/>
        <w:t xml:space="preserve">Gloves may be used past the manufacturer-designated shelf </w:t>
      </w:r>
      <w:proofErr w:type="gramStart"/>
      <w:r w:rsidRPr="00AC1EEC">
        <w:rPr>
          <w:rFonts w:asciiTheme="minorHAnsi" w:hAnsiTheme="minorHAnsi" w:cstheme="minorHAnsi"/>
          <w:sz w:val="22"/>
          <w:szCs w:val="22"/>
        </w:rPr>
        <w:t>life</w:t>
      </w:r>
      <w:proofErr w:type="gramEnd"/>
    </w:p>
    <w:p w14:paraId="11246D8D" w14:textId="10EA6549" w:rsidR="009B6871" w:rsidRPr="00AC1EEC" w:rsidRDefault="009B6871" w:rsidP="009B6871">
      <w:pPr>
        <w:pStyle w:val="ListParagraph"/>
        <w:numPr>
          <w:ilvl w:val="3"/>
          <w:numId w:val="16"/>
        </w:numPr>
        <w:rPr>
          <w:rFonts w:asciiTheme="minorHAnsi" w:hAnsiTheme="minorHAnsi" w:cstheme="minorHAnsi"/>
          <w:b/>
          <w:bCs/>
          <w:sz w:val="22"/>
          <w:szCs w:val="22"/>
        </w:rPr>
      </w:pPr>
      <w:r w:rsidRPr="00AC1EEC">
        <w:rPr>
          <w:rFonts w:asciiTheme="minorHAnsi" w:hAnsiTheme="minorHAnsi" w:cstheme="minorHAnsi"/>
          <w:sz w:val="22"/>
          <w:szCs w:val="22"/>
        </w:rPr>
        <w:t>Prioritize activities (</w:t>
      </w:r>
      <w:proofErr w:type="gramStart"/>
      <w:r w:rsidRPr="00AC1EEC">
        <w:rPr>
          <w:rFonts w:asciiTheme="minorHAnsi" w:hAnsiTheme="minorHAnsi" w:cstheme="minorHAnsi"/>
          <w:sz w:val="22"/>
          <w:szCs w:val="22"/>
        </w:rPr>
        <w:t>i.e.</w:t>
      </w:r>
      <w:proofErr w:type="gramEnd"/>
      <w:r w:rsidRPr="00AC1EEC">
        <w:rPr>
          <w:rFonts w:asciiTheme="minorHAnsi" w:hAnsiTheme="minorHAnsi" w:cstheme="minorHAnsi"/>
          <w:sz w:val="22"/>
          <w:szCs w:val="22"/>
        </w:rPr>
        <w:t xml:space="preserve"> training or activities in which the employee is not potentially exposed to pathogens)</w:t>
      </w:r>
    </w:p>
    <w:p w14:paraId="4AF7EAB1" w14:textId="4107F25A" w:rsidR="009B6871" w:rsidRPr="00AC1EEC" w:rsidRDefault="009B6871" w:rsidP="009B6871">
      <w:pPr>
        <w:pStyle w:val="ListParagraph"/>
        <w:numPr>
          <w:ilvl w:val="2"/>
          <w:numId w:val="16"/>
        </w:numPr>
        <w:rPr>
          <w:rStyle w:val="Hyperlink"/>
          <w:rFonts w:asciiTheme="minorHAnsi" w:hAnsiTheme="minorHAnsi" w:cstheme="minorHAnsi"/>
          <w:b/>
          <w:bCs/>
          <w:color w:val="auto"/>
          <w:sz w:val="22"/>
          <w:szCs w:val="22"/>
          <w:u w:val="none"/>
        </w:rPr>
      </w:pPr>
      <w:r w:rsidRPr="00AC1EEC">
        <w:rPr>
          <w:rFonts w:asciiTheme="minorHAnsi" w:hAnsiTheme="minorHAnsi" w:cstheme="minorHAnsi"/>
          <w:sz w:val="22"/>
          <w:szCs w:val="22"/>
        </w:rPr>
        <w:t xml:space="preserve">Gloves </w:t>
      </w:r>
      <w:proofErr w:type="gramStart"/>
      <w:r w:rsidRPr="00AC1EEC">
        <w:rPr>
          <w:rFonts w:asciiTheme="minorHAnsi" w:hAnsiTheme="minorHAnsi" w:cstheme="minorHAnsi"/>
          <w:sz w:val="22"/>
          <w:szCs w:val="22"/>
        </w:rPr>
        <w:t>similar to</w:t>
      </w:r>
      <w:proofErr w:type="gramEnd"/>
      <w:r w:rsidRPr="00AC1EEC">
        <w:rPr>
          <w:rFonts w:asciiTheme="minorHAnsi" w:hAnsiTheme="minorHAnsi" w:cstheme="minorHAnsi"/>
          <w:sz w:val="22"/>
          <w:szCs w:val="22"/>
        </w:rPr>
        <w:t xml:space="preserve"> FDA-cleared surgical and examination gloves approved under other U.S. or international standards may be considered.  Examples can be found in the table at </w:t>
      </w:r>
      <w:hyperlink r:id="rId18" w:anchor="conventional-capacity" w:history="1">
        <w:r w:rsidRPr="00AC1EEC">
          <w:rPr>
            <w:rStyle w:val="Hyperlink"/>
            <w:rFonts w:asciiTheme="minorHAnsi" w:hAnsiTheme="minorHAnsi" w:cstheme="minorHAnsi"/>
            <w:sz w:val="22"/>
            <w:szCs w:val="22"/>
          </w:rPr>
          <w:t>https://www.cdc.gov/coronavirus/2019-ncov/hcp/ppe-strategy/gloves.html#conventional-capacity</w:t>
        </w:r>
      </w:hyperlink>
    </w:p>
    <w:p w14:paraId="217EB49C" w14:textId="3BEE98E8" w:rsidR="009B6871" w:rsidRPr="00AC1EEC" w:rsidRDefault="009B6871" w:rsidP="009B6871">
      <w:pPr>
        <w:pStyle w:val="ListParagraph"/>
        <w:numPr>
          <w:ilvl w:val="1"/>
          <w:numId w:val="16"/>
        </w:numPr>
        <w:rPr>
          <w:rStyle w:val="Hyperlink"/>
          <w:rFonts w:asciiTheme="minorHAnsi" w:hAnsiTheme="minorHAnsi" w:cstheme="minorHAnsi"/>
          <w:b/>
          <w:bCs/>
          <w:color w:val="auto"/>
          <w:sz w:val="22"/>
          <w:szCs w:val="22"/>
          <w:u w:val="none"/>
        </w:rPr>
      </w:pPr>
      <w:r w:rsidRPr="00AC1EEC">
        <w:rPr>
          <w:rStyle w:val="Hyperlink"/>
          <w:rFonts w:asciiTheme="minorHAnsi" w:hAnsiTheme="minorHAnsi" w:cstheme="minorHAnsi"/>
          <w:b/>
          <w:bCs/>
          <w:color w:val="auto"/>
          <w:sz w:val="22"/>
          <w:szCs w:val="22"/>
          <w:u w:val="none"/>
        </w:rPr>
        <w:t>Crisis Capacity:</w:t>
      </w:r>
    </w:p>
    <w:p w14:paraId="27BCE930" w14:textId="77777777" w:rsidR="009B6871" w:rsidRPr="00AC1EEC" w:rsidRDefault="009B6871" w:rsidP="009B6871">
      <w:pPr>
        <w:pStyle w:val="ListParagraph"/>
        <w:numPr>
          <w:ilvl w:val="2"/>
          <w:numId w:val="16"/>
        </w:numPr>
        <w:rPr>
          <w:rFonts w:asciiTheme="minorHAnsi" w:hAnsiTheme="minorHAnsi" w:cstheme="minorHAnsi"/>
          <w:b/>
          <w:bCs/>
          <w:sz w:val="22"/>
          <w:szCs w:val="22"/>
        </w:rPr>
      </w:pPr>
      <w:r w:rsidRPr="00AC1EEC">
        <w:rPr>
          <w:rStyle w:val="Hyperlink"/>
          <w:rFonts w:asciiTheme="minorHAnsi" w:hAnsiTheme="minorHAnsi" w:cstheme="minorHAnsi"/>
          <w:color w:val="auto"/>
          <w:sz w:val="22"/>
          <w:szCs w:val="22"/>
          <w:u w:val="none"/>
        </w:rPr>
        <w:t>Elective</w:t>
      </w:r>
      <w:r w:rsidRPr="00AC1EEC">
        <w:rPr>
          <w:rFonts w:asciiTheme="minorHAnsi" w:hAnsiTheme="minorHAnsi" w:cstheme="minorHAnsi"/>
          <w:sz w:val="22"/>
          <w:szCs w:val="22"/>
        </w:rPr>
        <w:t xml:space="preserve"> and non-urgent procedures that require glove use can be canceled if </w:t>
      </w:r>
      <w:proofErr w:type="gramStart"/>
      <w:r w:rsidRPr="00AC1EEC">
        <w:rPr>
          <w:rFonts w:asciiTheme="minorHAnsi" w:hAnsiTheme="minorHAnsi" w:cstheme="minorHAnsi"/>
          <w:sz w:val="22"/>
          <w:szCs w:val="22"/>
        </w:rPr>
        <w:t>indicated</w:t>
      </w:r>
      <w:proofErr w:type="gramEnd"/>
    </w:p>
    <w:p w14:paraId="71BFB740" w14:textId="0C716AAF" w:rsidR="009B6871" w:rsidRPr="00AC1EEC" w:rsidRDefault="009B6871" w:rsidP="009B6871">
      <w:pPr>
        <w:pStyle w:val="ListParagraph"/>
        <w:numPr>
          <w:ilvl w:val="2"/>
          <w:numId w:val="16"/>
        </w:numPr>
        <w:rPr>
          <w:rFonts w:asciiTheme="minorHAnsi" w:hAnsiTheme="minorHAnsi" w:cstheme="minorHAnsi"/>
          <w:b/>
          <w:bCs/>
          <w:sz w:val="22"/>
          <w:szCs w:val="22"/>
        </w:rPr>
      </w:pPr>
      <w:r w:rsidRPr="00AC1EEC">
        <w:rPr>
          <w:rFonts w:asciiTheme="minorHAnsi" w:hAnsiTheme="minorHAnsi" w:cstheme="minorHAnsi"/>
          <w:sz w:val="22"/>
          <w:szCs w:val="22"/>
        </w:rPr>
        <w:t xml:space="preserve">Gloves may be used past the manufacturer-designated shelf </w:t>
      </w:r>
      <w:proofErr w:type="gramStart"/>
      <w:r w:rsidRPr="00AC1EEC">
        <w:rPr>
          <w:rFonts w:asciiTheme="minorHAnsi" w:hAnsiTheme="minorHAnsi" w:cstheme="minorHAnsi"/>
          <w:sz w:val="22"/>
          <w:szCs w:val="22"/>
        </w:rPr>
        <w:t>life</w:t>
      </w:r>
      <w:proofErr w:type="gramEnd"/>
    </w:p>
    <w:p w14:paraId="7616611C" w14:textId="4AFBD530" w:rsidR="009B6871" w:rsidRPr="00AC1EEC" w:rsidRDefault="009B6871" w:rsidP="009B6871">
      <w:pPr>
        <w:pStyle w:val="ListParagraph"/>
        <w:numPr>
          <w:ilvl w:val="3"/>
          <w:numId w:val="16"/>
        </w:numPr>
        <w:rPr>
          <w:rFonts w:asciiTheme="minorHAnsi" w:hAnsiTheme="minorHAnsi" w:cstheme="minorHAnsi"/>
          <w:sz w:val="22"/>
          <w:szCs w:val="22"/>
        </w:rPr>
      </w:pPr>
      <w:r w:rsidRPr="00AC1EEC">
        <w:rPr>
          <w:rFonts w:asciiTheme="minorHAnsi" w:hAnsiTheme="minorHAnsi" w:cstheme="minorHAnsi"/>
          <w:sz w:val="22"/>
          <w:szCs w:val="22"/>
        </w:rPr>
        <w:t xml:space="preserve">Do not use sterile gloves past the manufacturer’s shelf life for sterile </w:t>
      </w:r>
      <w:proofErr w:type="gramStart"/>
      <w:r w:rsidRPr="00AC1EEC">
        <w:rPr>
          <w:rFonts w:asciiTheme="minorHAnsi" w:hAnsiTheme="minorHAnsi" w:cstheme="minorHAnsi"/>
          <w:sz w:val="22"/>
          <w:szCs w:val="22"/>
        </w:rPr>
        <w:t>procedures</w:t>
      </w:r>
      <w:proofErr w:type="gramEnd"/>
    </w:p>
    <w:p w14:paraId="4B6CCA95" w14:textId="02C5D8FB" w:rsidR="009B6871" w:rsidRPr="00AC1EEC" w:rsidRDefault="009B6871" w:rsidP="009B6871">
      <w:pPr>
        <w:pStyle w:val="ListParagraph"/>
        <w:numPr>
          <w:ilvl w:val="2"/>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 xml:space="preserve">Prioritize use of non-sterile disposable gloves for activities that protect hands from contact with blood or body </w:t>
      </w:r>
      <w:proofErr w:type="gramStart"/>
      <w:r w:rsidRPr="00AC1EEC">
        <w:rPr>
          <w:rStyle w:val="Hyperlink"/>
          <w:rFonts w:asciiTheme="minorHAnsi" w:hAnsiTheme="minorHAnsi" w:cstheme="minorHAnsi"/>
          <w:color w:val="auto"/>
          <w:sz w:val="22"/>
          <w:szCs w:val="22"/>
          <w:u w:val="none"/>
        </w:rPr>
        <w:t>fluids</w:t>
      </w:r>
      <w:proofErr w:type="gramEnd"/>
    </w:p>
    <w:p w14:paraId="7B21D94A" w14:textId="23C3512F" w:rsidR="009B6871" w:rsidRPr="00AC1EEC" w:rsidRDefault="009B6871" w:rsidP="009B6871">
      <w:pPr>
        <w:pStyle w:val="ListParagraph"/>
        <w:numPr>
          <w:ilvl w:val="2"/>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Consider suspending use of gloves when entering the room of resident with endemic multidrug resistant organisms.</w:t>
      </w:r>
    </w:p>
    <w:p w14:paraId="170E2C27" w14:textId="1F7C6349" w:rsidR="009B6871" w:rsidRPr="00AC1EEC" w:rsidRDefault="009B6871" w:rsidP="009B6871">
      <w:pPr>
        <w:pStyle w:val="ListParagraph"/>
        <w:numPr>
          <w:ilvl w:val="3"/>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 xml:space="preserve">Employee must </w:t>
      </w:r>
      <w:proofErr w:type="gramStart"/>
      <w:r w:rsidRPr="00AC1EEC">
        <w:rPr>
          <w:rStyle w:val="Hyperlink"/>
          <w:rFonts w:asciiTheme="minorHAnsi" w:hAnsiTheme="minorHAnsi" w:cstheme="minorHAnsi"/>
          <w:color w:val="auto"/>
          <w:sz w:val="22"/>
          <w:szCs w:val="22"/>
          <w:u w:val="none"/>
        </w:rPr>
        <w:t>still continue</w:t>
      </w:r>
      <w:proofErr w:type="gramEnd"/>
      <w:r w:rsidRPr="00AC1EEC">
        <w:rPr>
          <w:rStyle w:val="Hyperlink"/>
          <w:rFonts w:asciiTheme="minorHAnsi" w:hAnsiTheme="minorHAnsi" w:cstheme="minorHAnsi"/>
          <w:color w:val="auto"/>
          <w:sz w:val="22"/>
          <w:szCs w:val="22"/>
          <w:u w:val="none"/>
        </w:rPr>
        <w:t xml:space="preserve"> to wear gloves when it is anticipated that they will be in contact with blood or other potentially infectious materials, mucous membranes, nonintact skin or potentially contaminated intact skin.</w:t>
      </w:r>
    </w:p>
    <w:p w14:paraId="01F9B3A7" w14:textId="3EDDAE3A" w:rsidR="009B6871" w:rsidRPr="00AC1EEC" w:rsidRDefault="009B6871" w:rsidP="009B6871">
      <w:pPr>
        <w:pStyle w:val="ListParagraph"/>
        <w:numPr>
          <w:ilvl w:val="4"/>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 xml:space="preserve">Continue to follow policy on Hand </w:t>
      </w:r>
      <w:proofErr w:type="gramStart"/>
      <w:r w:rsidRPr="00AC1EEC">
        <w:rPr>
          <w:rStyle w:val="Hyperlink"/>
          <w:rFonts w:asciiTheme="minorHAnsi" w:hAnsiTheme="minorHAnsi" w:cstheme="minorHAnsi"/>
          <w:color w:val="auto"/>
          <w:sz w:val="22"/>
          <w:szCs w:val="22"/>
          <w:u w:val="none"/>
        </w:rPr>
        <w:t>Hygiene</w:t>
      </w:r>
      <w:proofErr w:type="gramEnd"/>
    </w:p>
    <w:p w14:paraId="5971C87A" w14:textId="414A82CB" w:rsidR="009B6871" w:rsidRPr="00AC1EEC" w:rsidRDefault="009B6871" w:rsidP="009B6871">
      <w:pPr>
        <w:pStyle w:val="ListParagraph"/>
        <w:numPr>
          <w:ilvl w:val="2"/>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If no disposable medical gloves are available, non-healthcare disposable gloves may be used for situations where employee is not exposed to pathogens.  Extended use guidance does not apply to non-healthcare glove alternatives.</w:t>
      </w:r>
    </w:p>
    <w:p w14:paraId="62887F22" w14:textId="0271EB6F" w:rsidR="009B6871" w:rsidRPr="00AC1EEC" w:rsidRDefault="00647D49" w:rsidP="009B6871">
      <w:pPr>
        <w:pStyle w:val="ListParagraph"/>
        <w:numPr>
          <w:ilvl w:val="2"/>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 xml:space="preserve">Extended use of disposable gloves:  Employee wears gloves without changing them between patients or tasks for resident </w:t>
      </w:r>
      <w:proofErr w:type="spellStart"/>
      <w:r w:rsidRPr="00AC1EEC">
        <w:rPr>
          <w:rStyle w:val="Hyperlink"/>
          <w:rFonts w:asciiTheme="minorHAnsi" w:hAnsiTheme="minorHAnsi" w:cstheme="minorHAnsi"/>
          <w:color w:val="auto"/>
          <w:sz w:val="22"/>
          <w:szCs w:val="22"/>
          <w:u w:val="none"/>
        </w:rPr>
        <w:t>cohorted</w:t>
      </w:r>
      <w:proofErr w:type="spellEnd"/>
      <w:r w:rsidRPr="00AC1EEC">
        <w:rPr>
          <w:rStyle w:val="Hyperlink"/>
          <w:rFonts w:asciiTheme="minorHAnsi" w:hAnsiTheme="minorHAnsi" w:cstheme="minorHAnsi"/>
          <w:color w:val="auto"/>
          <w:sz w:val="22"/>
          <w:szCs w:val="22"/>
          <w:u w:val="none"/>
        </w:rPr>
        <w:t xml:space="preserve"> and with the same confirmed infectious disease in a shared or adjacent location.</w:t>
      </w:r>
    </w:p>
    <w:p w14:paraId="6761AC7B" w14:textId="6AFD8E1A" w:rsidR="00647D49" w:rsidRPr="00AC1EEC" w:rsidRDefault="00647D49" w:rsidP="00647D49">
      <w:pPr>
        <w:pStyle w:val="ListParagraph"/>
        <w:numPr>
          <w:ilvl w:val="3"/>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“During a glove supply crisis, gloves can remain on but must be sanitized between patients within the cohort to prevent cross transmission of any other pathogens from patient to patient.”  (Note:  this is not standard practice and should only be used in a crisis capacity)</w:t>
      </w:r>
    </w:p>
    <w:p w14:paraId="4A7B7F60" w14:textId="15FA1EAE" w:rsidR="00647D49" w:rsidRPr="00AC1EEC" w:rsidRDefault="00647D49" w:rsidP="00647D49">
      <w:pPr>
        <w:pStyle w:val="ListParagraph"/>
        <w:numPr>
          <w:ilvl w:val="4"/>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Alcohol-based hand sanitizer (ABHS is the preferred method to sanitize gloves when not visibly soiled and can only be done up to 6 times or if damaged/degraded)</w:t>
      </w:r>
    </w:p>
    <w:p w14:paraId="3777A3D9" w14:textId="41F42581" w:rsidR="00647D49" w:rsidRPr="00AC1EEC" w:rsidRDefault="00647D49" w:rsidP="00647D49">
      <w:pPr>
        <w:pStyle w:val="ListParagraph"/>
        <w:numPr>
          <w:ilvl w:val="4"/>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Soap and water between tasks or residents up to 10 times if not damaged/degraded)</w:t>
      </w:r>
    </w:p>
    <w:p w14:paraId="4E4F9E47" w14:textId="60C08367" w:rsidR="00647D49" w:rsidRPr="00AC1EEC" w:rsidRDefault="00647D49" w:rsidP="00647D49">
      <w:pPr>
        <w:pStyle w:val="ListParagraph"/>
        <w:numPr>
          <w:ilvl w:val="4"/>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 xml:space="preserve">Diluted bleach:  While gloves on, </w:t>
      </w:r>
      <w:r w:rsidRPr="00AC1EEC">
        <w:rPr>
          <w:rFonts w:asciiTheme="minorHAnsi" w:hAnsiTheme="minorHAnsi" w:cstheme="minorHAnsi"/>
          <w:color w:val="000000"/>
          <w:sz w:val="22"/>
          <w:szCs w:val="22"/>
          <w:shd w:val="clear" w:color="auto" w:fill="FFFFFF"/>
        </w:rPr>
        <w:t>dip gloved hands into a </w:t>
      </w:r>
      <w:hyperlink r:id="rId19" w:history="1">
        <w:r w:rsidRPr="00AC1EEC">
          <w:rPr>
            <w:rFonts w:asciiTheme="minorHAnsi" w:hAnsiTheme="minorHAnsi" w:cstheme="minorHAnsi"/>
            <w:color w:val="075290"/>
            <w:sz w:val="22"/>
            <w:szCs w:val="22"/>
            <w:u w:val="single"/>
            <w:shd w:val="clear" w:color="auto" w:fill="FFFFFF"/>
          </w:rPr>
          <w:t>dilute bleach solution</w:t>
        </w:r>
      </w:hyperlink>
      <w:r w:rsidRPr="00AC1EEC">
        <w:rPr>
          <w:rFonts w:asciiTheme="minorHAnsi" w:hAnsiTheme="minorHAnsi" w:cstheme="minorHAnsi"/>
          <w:color w:val="000000"/>
          <w:sz w:val="22"/>
          <w:szCs w:val="22"/>
          <w:shd w:val="clear" w:color="auto" w:fill="FFFFFF"/>
        </w:rPr>
        <w:t xml:space="preserve"> for five (5) seconds.  </w:t>
      </w:r>
      <w:r w:rsidR="006611EE" w:rsidRPr="00AC1EEC">
        <w:rPr>
          <w:rFonts w:asciiTheme="minorHAnsi" w:hAnsiTheme="minorHAnsi" w:cstheme="minorHAnsi"/>
          <w:color w:val="000000"/>
          <w:sz w:val="22"/>
          <w:szCs w:val="22"/>
          <w:shd w:val="clear" w:color="auto" w:fill="FFFFFF"/>
        </w:rPr>
        <w:t>Dilute bleach solution should remain on gloves for 1 minute after removing hands from solution.  Rinse with water and wipe dry with clean towel.  If damaged or degraded, discard gloves.</w:t>
      </w:r>
    </w:p>
    <w:p w14:paraId="44F50D12" w14:textId="7FBB369C" w:rsidR="00647D49" w:rsidRPr="00AC1EEC" w:rsidRDefault="00647D49" w:rsidP="00647D49">
      <w:pPr>
        <w:pStyle w:val="ListParagraph"/>
        <w:numPr>
          <w:ilvl w:val="3"/>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 xml:space="preserve">Employee must clean gloved hands at intervals where gloves would normally be changed or hand hygiene normally </w:t>
      </w:r>
      <w:proofErr w:type="gramStart"/>
      <w:r w:rsidRPr="00AC1EEC">
        <w:rPr>
          <w:rStyle w:val="Hyperlink"/>
          <w:rFonts w:asciiTheme="minorHAnsi" w:hAnsiTheme="minorHAnsi" w:cstheme="minorHAnsi"/>
          <w:color w:val="auto"/>
          <w:sz w:val="22"/>
          <w:szCs w:val="22"/>
          <w:u w:val="none"/>
        </w:rPr>
        <w:t>performed</w:t>
      </w:r>
      <w:proofErr w:type="gramEnd"/>
    </w:p>
    <w:p w14:paraId="4C2B070A" w14:textId="581DA708" w:rsidR="00647D49" w:rsidRPr="00AC1EEC" w:rsidRDefault="00647D49" w:rsidP="00647D49">
      <w:pPr>
        <w:pStyle w:val="ListParagraph"/>
        <w:numPr>
          <w:ilvl w:val="3"/>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lastRenderedPageBreak/>
        <w:t>Discard medical gloves if soiled or contaminated with blood, respiratory or nasal secretion or other body fluid, if signs of damage, after a maximum of 4 hours of use.</w:t>
      </w:r>
    </w:p>
    <w:p w14:paraId="049DC862" w14:textId="05B17399" w:rsidR="00647D49" w:rsidRPr="00AC1EEC" w:rsidRDefault="00647D49" w:rsidP="00647D49">
      <w:pPr>
        <w:pStyle w:val="ListParagraph"/>
        <w:numPr>
          <w:ilvl w:val="3"/>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 xml:space="preserve">Once gloves are doffed, do not re-don for any </w:t>
      </w:r>
      <w:proofErr w:type="gramStart"/>
      <w:r w:rsidRPr="00AC1EEC">
        <w:rPr>
          <w:rStyle w:val="Hyperlink"/>
          <w:rFonts w:asciiTheme="minorHAnsi" w:hAnsiTheme="minorHAnsi" w:cstheme="minorHAnsi"/>
          <w:color w:val="auto"/>
          <w:sz w:val="22"/>
          <w:szCs w:val="22"/>
          <w:u w:val="none"/>
        </w:rPr>
        <w:t>reason</w:t>
      </w:r>
      <w:proofErr w:type="gramEnd"/>
    </w:p>
    <w:p w14:paraId="03AC581A" w14:textId="28674265" w:rsidR="00647D49" w:rsidRPr="00AC1EEC" w:rsidRDefault="00647D49" w:rsidP="00647D49">
      <w:pPr>
        <w:pStyle w:val="ListParagraph"/>
        <w:numPr>
          <w:ilvl w:val="3"/>
          <w:numId w:val="16"/>
        </w:numPr>
        <w:rPr>
          <w:rStyle w:val="Hyperlink"/>
          <w:rFonts w:asciiTheme="minorHAnsi" w:hAnsiTheme="minorHAnsi" w:cstheme="minorHAnsi"/>
          <w:color w:val="auto"/>
          <w:sz w:val="22"/>
          <w:szCs w:val="22"/>
          <w:u w:val="none"/>
        </w:rPr>
      </w:pPr>
      <w:r w:rsidRPr="00AC1EEC">
        <w:rPr>
          <w:rStyle w:val="Hyperlink"/>
          <w:rFonts w:asciiTheme="minorHAnsi" w:hAnsiTheme="minorHAnsi" w:cstheme="minorHAnsi"/>
          <w:color w:val="auto"/>
          <w:sz w:val="22"/>
          <w:szCs w:val="22"/>
          <w:u w:val="none"/>
        </w:rPr>
        <w:t xml:space="preserve">Perform hand </w:t>
      </w:r>
      <w:proofErr w:type="gramStart"/>
      <w:r w:rsidRPr="00AC1EEC">
        <w:rPr>
          <w:rStyle w:val="Hyperlink"/>
          <w:rFonts w:asciiTheme="minorHAnsi" w:hAnsiTheme="minorHAnsi" w:cstheme="minorHAnsi"/>
          <w:color w:val="auto"/>
          <w:sz w:val="22"/>
          <w:szCs w:val="22"/>
          <w:u w:val="none"/>
        </w:rPr>
        <w:t>hygiene</w:t>
      </w:r>
      <w:proofErr w:type="gramEnd"/>
    </w:p>
    <w:p w14:paraId="059271B9" w14:textId="77777777" w:rsidR="009B6871" w:rsidRPr="00AC1EEC" w:rsidRDefault="009B6871" w:rsidP="009B6871">
      <w:pPr>
        <w:rPr>
          <w:rFonts w:asciiTheme="minorHAnsi" w:hAnsiTheme="minorHAnsi" w:cstheme="minorHAnsi"/>
          <w:b/>
          <w:bCs/>
          <w:sz w:val="22"/>
          <w:szCs w:val="22"/>
        </w:rPr>
      </w:pPr>
    </w:p>
    <w:p w14:paraId="2233B51A" w14:textId="77777777" w:rsidR="00933CDE" w:rsidRDefault="00933CDE">
      <w:pPr>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678E0A4B" w14:textId="3ED5914B" w:rsidR="00454C2E" w:rsidRPr="00AC1EEC" w:rsidRDefault="00454C2E" w:rsidP="00454C2E">
      <w:pPr>
        <w:rPr>
          <w:rFonts w:asciiTheme="minorHAnsi" w:hAnsiTheme="minorHAnsi" w:cstheme="minorHAnsi"/>
          <w:b/>
          <w:bCs/>
          <w:szCs w:val="24"/>
        </w:rPr>
      </w:pPr>
      <w:r w:rsidRPr="00AC1EEC">
        <w:rPr>
          <w:rFonts w:asciiTheme="minorHAnsi" w:hAnsiTheme="minorHAnsi" w:cstheme="minorHAnsi"/>
          <w:b/>
          <w:bCs/>
          <w:szCs w:val="24"/>
        </w:rPr>
        <w:lastRenderedPageBreak/>
        <w:t>References</w:t>
      </w:r>
      <w:r w:rsidR="006611EE" w:rsidRPr="00AC1EEC">
        <w:rPr>
          <w:rFonts w:asciiTheme="minorHAnsi" w:hAnsiTheme="minorHAnsi" w:cstheme="minorHAnsi"/>
          <w:b/>
          <w:bCs/>
          <w:szCs w:val="24"/>
        </w:rPr>
        <w:t xml:space="preserve"> and Resources</w:t>
      </w:r>
    </w:p>
    <w:p w14:paraId="443918C9" w14:textId="77777777" w:rsidR="006611EE" w:rsidRPr="00AC1EEC" w:rsidRDefault="006611EE" w:rsidP="00454C2E">
      <w:pPr>
        <w:rPr>
          <w:rFonts w:asciiTheme="minorHAnsi" w:hAnsiTheme="minorHAnsi" w:cstheme="minorHAnsi"/>
          <w:sz w:val="22"/>
          <w:szCs w:val="22"/>
        </w:rPr>
      </w:pPr>
    </w:p>
    <w:p w14:paraId="4F2DC4EC" w14:textId="789008C8" w:rsidR="00454C2E" w:rsidRPr="00AC1EEC" w:rsidRDefault="00454C2E" w:rsidP="00454C2E">
      <w:pPr>
        <w:rPr>
          <w:rStyle w:val="Hyperlink"/>
          <w:rFonts w:asciiTheme="minorHAnsi" w:hAnsiTheme="minorHAnsi" w:cstheme="minorHAnsi"/>
          <w:sz w:val="22"/>
          <w:szCs w:val="22"/>
        </w:rPr>
      </w:pPr>
      <w:r w:rsidRPr="00AC1EEC">
        <w:rPr>
          <w:rFonts w:asciiTheme="minorHAnsi" w:hAnsiTheme="minorHAnsi" w:cstheme="minorHAnsi"/>
          <w:sz w:val="22"/>
          <w:szCs w:val="22"/>
          <w:vertAlign w:val="superscript"/>
        </w:rPr>
        <w:t>1</w:t>
      </w:r>
      <w:r w:rsidRPr="00AC1EEC">
        <w:rPr>
          <w:rFonts w:asciiTheme="minorHAnsi" w:hAnsiTheme="minorHAnsi" w:cstheme="minorHAnsi"/>
          <w:sz w:val="22"/>
          <w:szCs w:val="22"/>
        </w:rPr>
        <w:t xml:space="preserve">Centers for Disease Control and Prevention. Strategies for Optimizing the Supply of Disposable Medical Gloves, Updated Dec. 23, 2020:  </w:t>
      </w:r>
      <w:hyperlink r:id="rId20" w:anchor="conventional-capacity" w:history="1">
        <w:r w:rsidRPr="00AC1EEC">
          <w:rPr>
            <w:rStyle w:val="Hyperlink"/>
            <w:rFonts w:asciiTheme="minorHAnsi" w:hAnsiTheme="minorHAnsi" w:cstheme="minorHAnsi"/>
            <w:sz w:val="22"/>
            <w:szCs w:val="22"/>
          </w:rPr>
          <w:t>https://www.cdc.gov/coronavirus/2019-ncov/hcp/ppe-strategy/gloves.html#conventional-capacity</w:t>
        </w:r>
      </w:hyperlink>
    </w:p>
    <w:p w14:paraId="6839CB6E" w14:textId="77777777" w:rsidR="007E628F" w:rsidRPr="00AC1EEC" w:rsidRDefault="007E628F" w:rsidP="00454C2E">
      <w:pPr>
        <w:rPr>
          <w:rFonts w:asciiTheme="minorHAnsi" w:hAnsiTheme="minorHAnsi" w:cstheme="minorHAnsi"/>
          <w:sz w:val="22"/>
          <w:szCs w:val="22"/>
        </w:rPr>
      </w:pPr>
    </w:p>
    <w:p w14:paraId="29E87E3B" w14:textId="5D78AB50" w:rsidR="00454C2E" w:rsidRPr="00AC1EEC" w:rsidRDefault="00454C2E" w:rsidP="00454C2E">
      <w:pPr>
        <w:rPr>
          <w:rFonts w:asciiTheme="minorHAnsi" w:hAnsiTheme="minorHAnsi" w:cstheme="minorHAnsi"/>
          <w:sz w:val="22"/>
          <w:szCs w:val="22"/>
        </w:rPr>
      </w:pPr>
      <w:r w:rsidRPr="00AC1EEC">
        <w:rPr>
          <w:rFonts w:asciiTheme="minorHAnsi" w:hAnsiTheme="minorHAnsi" w:cstheme="minorHAnsi"/>
          <w:sz w:val="22"/>
          <w:szCs w:val="22"/>
        </w:rPr>
        <w:t>U. S. Food and Drug Administration. Medical Glove Conservation Strategies: Letter to Health care Providers (Content current as of 4/27/2020)</w:t>
      </w:r>
      <w:r w:rsidR="006611EE" w:rsidRPr="00AC1EEC">
        <w:rPr>
          <w:rFonts w:asciiTheme="minorHAnsi" w:hAnsiTheme="minorHAnsi" w:cstheme="minorHAnsi"/>
          <w:sz w:val="22"/>
          <w:szCs w:val="22"/>
        </w:rPr>
        <w:t xml:space="preserve">:  </w:t>
      </w:r>
      <w:r w:rsidRPr="00AC1EEC">
        <w:rPr>
          <w:rFonts w:asciiTheme="minorHAnsi" w:hAnsiTheme="minorHAnsi" w:cstheme="minorHAnsi"/>
          <w:sz w:val="22"/>
          <w:szCs w:val="22"/>
        </w:rPr>
        <w:t xml:space="preserve"> </w:t>
      </w:r>
      <w:hyperlink r:id="rId21" w:history="1">
        <w:r w:rsidR="006611EE" w:rsidRPr="00AC1EEC">
          <w:rPr>
            <w:rStyle w:val="Hyperlink"/>
            <w:rFonts w:asciiTheme="minorHAnsi" w:hAnsiTheme="minorHAnsi" w:cstheme="minorHAnsi"/>
            <w:sz w:val="22"/>
            <w:szCs w:val="22"/>
          </w:rPr>
          <w:t>https://www.fda.gov/medical-devices/letters-health-care-providers/medical-glove-conservation-strategies-letter-health-care-providers</w:t>
        </w:r>
      </w:hyperlink>
      <w:r w:rsidR="006611EE" w:rsidRPr="00AC1EEC">
        <w:rPr>
          <w:rFonts w:asciiTheme="minorHAnsi" w:hAnsiTheme="minorHAnsi" w:cstheme="minorHAnsi"/>
          <w:sz w:val="22"/>
          <w:szCs w:val="22"/>
        </w:rPr>
        <w:t xml:space="preserve"> </w:t>
      </w:r>
    </w:p>
    <w:p w14:paraId="573F77DF" w14:textId="5E88EC31" w:rsidR="00454C2E" w:rsidRPr="00AC1EEC" w:rsidRDefault="00454C2E" w:rsidP="00454C2E">
      <w:pPr>
        <w:shd w:val="clear" w:color="auto" w:fill="FFFFFF"/>
        <w:spacing w:beforeAutospacing="1" w:afterAutospacing="1"/>
        <w:rPr>
          <w:rFonts w:asciiTheme="minorHAnsi" w:hAnsiTheme="minorHAnsi" w:cstheme="minorHAnsi"/>
          <w:sz w:val="22"/>
          <w:szCs w:val="22"/>
        </w:rPr>
      </w:pPr>
      <w:r w:rsidRPr="00AC1EEC">
        <w:rPr>
          <w:rFonts w:asciiTheme="minorHAnsi" w:hAnsiTheme="minorHAnsi" w:cstheme="minorHAnsi"/>
          <w:sz w:val="22"/>
          <w:szCs w:val="22"/>
        </w:rPr>
        <w:t xml:space="preserve">Gao P, </w:t>
      </w:r>
      <w:proofErr w:type="spellStart"/>
      <w:r w:rsidRPr="00AC1EEC">
        <w:rPr>
          <w:rFonts w:asciiTheme="minorHAnsi" w:hAnsiTheme="minorHAnsi" w:cstheme="minorHAnsi"/>
          <w:sz w:val="22"/>
          <w:szCs w:val="22"/>
        </w:rPr>
        <w:t>Horvatin</w:t>
      </w:r>
      <w:proofErr w:type="spellEnd"/>
      <w:r w:rsidRPr="00AC1EEC">
        <w:rPr>
          <w:rFonts w:asciiTheme="minorHAnsi" w:hAnsiTheme="minorHAnsi" w:cstheme="minorHAnsi"/>
          <w:sz w:val="22"/>
          <w:szCs w:val="22"/>
        </w:rPr>
        <w:t xml:space="preserve"> M, </w:t>
      </w:r>
      <w:proofErr w:type="spellStart"/>
      <w:r w:rsidRPr="00AC1EEC">
        <w:rPr>
          <w:rFonts w:asciiTheme="minorHAnsi" w:hAnsiTheme="minorHAnsi" w:cstheme="minorHAnsi"/>
          <w:sz w:val="22"/>
          <w:szCs w:val="22"/>
        </w:rPr>
        <w:t>Niezgoda</w:t>
      </w:r>
      <w:proofErr w:type="spellEnd"/>
      <w:r w:rsidRPr="00AC1EEC">
        <w:rPr>
          <w:rFonts w:asciiTheme="minorHAnsi" w:hAnsiTheme="minorHAnsi" w:cstheme="minorHAnsi"/>
          <w:sz w:val="22"/>
          <w:szCs w:val="22"/>
        </w:rPr>
        <w:t xml:space="preserve"> G, </w:t>
      </w:r>
      <w:proofErr w:type="spellStart"/>
      <w:r w:rsidRPr="00AC1EEC">
        <w:rPr>
          <w:rFonts w:asciiTheme="minorHAnsi" w:hAnsiTheme="minorHAnsi" w:cstheme="minorHAnsi"/>
          <w:sz w:val="22"/>
          <w:szCs w:val="22"/>
        </w:rPr>
        <w:t>Weible</w:t>
      </w:r>
      <w:proofErr w:type="spellEnd"/>
      <w:r w:rsidRPr="00AC1EEC">
        <w:rPr>
          <w:rFonts w:asciiTheme="minorHAnsi" w:hAnsiTheme="minorHAnsi" w:cstheme="minorHAnsi"/>
          <w:sz w:val="22"/>
          <w:szCs w:val="22"/>
        </w:rPr>
        <w:t xml:space="preserve"> R, Shaffer R. </w:t>
      </w:r>
      <w:hyperlink r:id="rId22" w:history="1">
        <w:r w:rsidRPr="00AC1EEC">
          <w:rPr>
            <w:rFonts w:asciiTheme="minorHAnsi" w:hAnsiTheme="minorHAnsi" w:cstheme="minorHAnsi"/>
            <w:sz w:val="22"/>
            <w:szCs w:val="22"/>
            <w:u w:val="single"/>
          </w:rPr>
          <w:t>Effect of multiple alcohol-based hand rub applications on the tensile properties of thirteen brands of medical exam nitrile and latex gloves</w:t>
        </w:r>
      </w:hyperlink>
      <w:r w:rsidRPr="00AC1EEC">
        <w:rPr>
          <w:rFonts w:asciiTheme="minorHAnsi" w:hAnsiTheme="minorHAnsi" w:cstheme="minorHAnsi"/>
          <w:sz w:val="22"/>
          <w:szCs w:val="22"/>
        </w:rPr>
        <w:t>. </w:t>
      </w:r>
      <w:r w:rsidRPr="00AC1EEC">
        <w:rPr>
          <w:rFonts w:asciiTheme="minorHAnsi" w:hAnsiTheme="minorHAnsi" w:cstheme="minorHAnsi"/>
          <w:i/>
          <w:iCs/>
          <w:sz w:val="22"/>
          <w:szCs w:val="22"/>
        </w:rPr>
        <w:t>Journal of Occupational and Environmental Hygiene</w:t>
      </w:r>
      <w:r w:rsidRPr="00AC1EEC">
        <w:rPr>
          <w:rFonts w:asciiTheme="minorHAnsi" w:hAnsiTheme="minorHAnsi" w:cstheme="minorHAnsi"/>
          <w:sz w:val="22"/>
          <w:szCs w:val="22"/>
        </w:rPr>
        <w:t xml:space="preserve">. 2016, 13:12, 905-914, </w:t>
      </w:r>
      <w:proofErr w:type="spellStart"/>
      <w:r w:rsidRPr="00AC1EEC">
        <w:rPr>
          <w:rFonts w:asciiTheme="minorHAnsi" w:hAnsiTheme="minorHAnsi" w:cstheme="minorHAnsi"/>
          <w:sz w:val="22"/>
          <w:szCs w:val="22"/>
        </w:rPr>
        <w:t>doi</w:t>
      </w:r>
      <w:proofErr w:type="spellEnd"/>
      <w:r w:rsidRPr="00AC1EEC">
        <w:rPr>
          <w:rFonts w:asciiTheme="minorHAnsi" w:hAnsiTheme="minorHAnsi" w:cstheme="minorHAnsi"/>
          <w:sz w:val="22"/>
          <w:szCs w:val="22"/>
        </w:rPr>
        <w:t xml:space="preserve">: 10.1080/15459624.2016.1191640 </w:t>
      </w:r>
      <w:hyperlink r:id="rId23" w:history="1">
        <w:r w:rsidRPr="00AC1EEC">
          <w:rPr>
            <w:rStyle w:val="Hyperlink"/>
            <w:rFonts w:asciiTheme="minorHAnsi" w:hAnsiTheme="minorHAnsi" w:cstheme="minorHAnsi"/>
            <w:sz w:val="22"/>
            <w:szCs w:val="22"/>
          </w:rPr>
          <w:t>https://www.tandfonline.com/doi/full/10.1080/15459624.2016.1191640</w:t>
        </w:r>
      </w:hyperlink>
    </w:p>
    <w:p w14:paraId="38E68911" w14:textId="257E91A6" w:rsidR="00454C2E" w:rsidRPr="00AC1EEC" w:rsidRDefault="00454C2E" w:rsidP="00454C2E">
      <w:pPr>
        <w:shd w:val="clear" w:color="auto" w:fill="FFFFFF"/>
        <w:spacing w:beforeAutospacing="1" w:afterAutospacing="1"/>
        <w:rPr>
          <w:rFonts w:asciiTheme="minorHAnsi" w:hAnsiTheme="minorHAnsi" w:cstheme="minorHAnsi"/>
          <w:sz w:val="22"/>
          <w:szCs w:val="22"/>
        </w:rPr>
      </w:pPr>
      <w:proofErr w:type="spellStart"/>
      <w:r w:rsidRPr="00AC1EEC">
        <w:rPr>
          <w:rFonts w:asciiTheme="minorHAnsi" w:hAnsiTheme="minorHAnsi" w:cstheme="minorHAnsi"/>
          <w:sz w:val="22"/>
          <w:szCs w:val="22"/>
        </w:rPr>
        <w:t>Pitten</w:t>
      </w:r>
      <w:proofErr w:type="spellEnd"/>
      <w:r w:rsidRPr="00AC1EEC">
        <w:rPr>
          <w:rFonts w:asciiTheme="minorHAnsi" w:hAnsiTheme="minorHAnsi" w:cstheme="minorHAnsi"/>
          <w:sz w:val="22"/>
          <w:szCs w:val="22"/>
        </w:rPr>
        <w:t xml:space="preserve"> FA, Muller P, </w:t>
      </w:r>
      <w:proofErr w:type="spellStart"/>
      <w:r w:rsidRPr="00AC1EEC">
        <w:rPr>
          <w:rFonts w:asciiTheme="minorHAnsi" w:hAnsiTheme="minorHAnsi" w:cstheme="minorHAnsi"/>
          <w:sz w:val="22"/>
          <w:szCs w:val="22"/>
        </w:rPr>
        <w:t>Heeg</w:t>
      </w:r>
      <w:proofErr w:type="spellEnd"/>
      <w:r w:rsidRPr="00AC1EEC">
        <w:rPr>
          <w:rFonts w:asciiTheme="minorHAnsi" w:hAnsiTheme="minorHAnsi" w:cstheme="minorHAnsi"/>
          <w:sz w:val="22"/>
          <w:szCs w:val="22"/>
        </w:rPr>
        <w:t xml:space="preserve"> P, Kramer A. </w:t>
      </w:r>
      <w:hyperlink r:id="rId24" w:history="1">
        <w:r w:rsidRPr="00AC1EEC">
          <w:rPr>
            <w:rFonts w:asciiTheme="minorHAnsi" w:hAnsiTheme="minorHAnsi" w:cstheme="minorHAnsi"/>
            <w:sz w:val="22"/>
            <w:szCs w:val="22"/>
            <w:u w:val="single"/>
          </w:rPr>
          <w:t>The efficacy of repeated disinfection of disposable gloves during usage</w:t>
        </w:r>
      </w:hyperlink>
      <w:r w:rsidRPr="00AC1EEC">
        <w:rPr>
          <w:rFonts w:asciiTheme="minorHAnsi" w:hAnsiTheme="minorHAnsi" w:cstheme="minorHAnsi"/>
          <w:sz w:val="22"/>
          <w:szCs w:val="22"/>
        </w:rPr>
        <w:t>. </w:t>
      </w:r>
      <w:proofErr w:type="spellStart"/>
      <w:r w:rsidRPr="00AC1EEC">
        <w:rPr>
          <w:rFonts w:asciiTheme="minorHAnsi" w:hAnsiTheme="minorHAnsi" w:cstheme="minorHAnsi"/>
          <w:i/>
          <w:iCs/>
          <w:sz w:val="22"/>
          <w:szCs w:val="22"/>
        </w:rPr>
        <w:t>Zentralbl</w:t>
      </w:r>
      <w:proofErr w:type="spellEnd"/>
      <w:r w:rsidRPr="00AC1EEC">
        <w:rPr>
          <w:rFonts w:asciiTheme="minorHAnsi" w:hAnsiTheme="minorHAnsi" w:cstheme="minorHAnsi"/>
          <w:i/>
          <w:iCs/>
          <w:sz w:val="22"/>
          <w:szCs w:val="22"/>
        </w:rPr>
        <w:t xml:space="preserve"> </w:t>
      </w:r>
      <w:proofErr w:type="spellStart"/>
      <w:r w:rsidRPr="00AC1EEC">
        <w:rPr>
          <w:rFonts w:asciiTheme="minorHAnsi" w:hAnsiTheme="minorHAnsi" w:cstheme="minorHAnsi"/>
          <w:i/>
          <w:iCs/>
          <w:sz w:val="22"/>
          <w:szCs w:val="22"/>
        </w:rPr>
        <w:t>Hyg</w:t>
      </w:r>
      <w:proofErr w:type="spellEnd"/>
      <w:r w:rsidRPr="00AC1EEC">
        <w:rPr>
          <w:rFonts w:asciiTheme="minorHAnsi" w:hAnsiTheme="minorHAnsi" w:cstheme="minorHAnsi"/>
          <w:i/>
          <w:iCs/>
          <w:sz w:val="22"/>
          <w:szCs w:val="22"/>
        </w:rPr>
        <w:t xml:space="preserve"> </w:t>
      </w:r>
      <w:proofErr w:type="spellStart"/>
      <w:r w:rsidRPr="00AC1EEC">
        <w:rPr>
          <w:rFonts w:asciiTheme="minorHAnsi" w:hAnsiTheme="minorHAnsi" w:cstheme="minorHAnsi"/>
          <w:i/>
          <w:iCs/>
          <w:sz w:val="22"/>
          <w:szCs w:val="22"/>
        </w:rPr>
        <w:t>Umweltmed</w:t>
      </w:r>
      <w:proofErr w:type="spellEnd"/>
      <w:r w:rsidRPr="00AC1EEC">
        <w:rPr>
          <w:rFonts w:asciiTheme="minorHAnsi" w:hAnsiTheme="minorHAnsi" w:cstheme="minorHAnsi"/>
          <w:sz w:val="22"/>
          <w:szCs w:val="22"/>
        </w:rPr>
        <w:t xml:space="preserve">. 1999, 201(6), 555-62. </w:t>
      </w:r>
      <w:hyperlink r:id="rId25" w:history="1">
        <w:r w:rsidRPr="00AC1EEC">
          <w:rPr>
            <w:rStyle w:val="Hyperlink"/>
            <w:rFonts w:asciiTheme="minorHAnsi" w:hAnsiTheme="minorHAnsi" w:cstheme="minorHAnsi"/>
            <w:sz w:val="22"/>
            <w:szCs w:val="22"/>
          </w:rPr>
          <w:t>https://pubmed.ncbi.nlm.nih.gov/10084208/</w:t>
        </w:r>
      </w:hyperlink>
    </w:p>
    <w:p w14:paraId="7F252FF5" w14:textId="03A65610" w:rsidR="00454C2E" w:rsidRPr="00AC1EEC" w:rsidRDefault="00454C2E" w:rsidP="00454C2E">
      <w:pPr>
        <w:shd w:val="clear" w:color="auto" w:fill="FFFFFF"/>
        <w:spacing w:beforeAutospacing="1" w:afterAutospacing="1"/>
        <w:rPr>
          <w:rFonts w:asciiTheme="minorHAnsi" w:hAnsiTheme="minorHAnsi" w:cstheme="minorHAnsi"/>
          <w:sz w:val="22"/>
          <w:szCs w:val="22"/>
        </w:rPr>
      </w:pPr>
      <w:r w:rsidRPr="00AC1EEC">
        <w:rPr>
          <w:rFonts w:asciiTheme="minorHAnsi" w:hAnsiTheme="minorHAnsi" w:cstheme="minorHAnsi"/>
          <w:sz w:val="22"/>
          <w:szCs w:val="22"/>
        </w:rPr>
        <w:t xml:space="preserve">Centers for Disease Control and Prevention. Hand Hygiene in Healthcare Settings </w:t>
      </w:r>
      <w:hyperlink r:id="rId26" w:history="1">
        <w:r w:rsidRPr="00AC1EEC">
          <w:rPr>
            <w:rStyle w:val="Hyperlink"/>
            <w:rFonts w:asciiTheme="minorHAnsi" w:hAnsiTheme="minorHAnsi" w:cstheme="minorHAnsi"/>
            <w:sz w:val="22"/>
            <w:szCs w:val="22"/>
          </w:rPr>
          <w:t>https://www.cdc.gov/handhygiene/index.html</w:t>
        </w:r>
      </w:hyperlink>
    </w:p>
    <w:p w14:paraId="50ADC197" w14:textId="04868ADB" w:rsidR="00454C2E" w:rsidRPr="00AC1EEC" w:rsidRDefault="00454C2E" w:rsidP="00454C2E">
      <w:pPr>
        <w:shd w:val="clear" w:color="auto" w:fill="FFFFFF"/>
        <w:spacing w:beforeAutospacing="1" w:afterAutospacing="1"/>
        <w:rPr>
          <w:rFonts w:asciiTheme="minorHAnsi" w:hAnsiTheme="minorHAnsi" w:cstheme="minorHAnsi"/>
          <w:color w:val="000000"/>
          <w:sz w:val="22"/>
          <w:szCs w:val="22"/>
          <w:shd w:val="clear" w:color="auto" w:fill="FFFFFF"/>
        </w:rPr>
      </w:pPr>
      <w:r w:rsidRPr="00AC1EEC">
        <w:rPr>
          <w:rFonts w:asciiTheme="minorHAnsi" w:hAnsiTheme="minorHAnsi" w:cstheme="minorHAnsi"/>
          <w:color w:val="000000"/>
          <w:sz w:val="22"/>
          <w:szCs w:val="22"/>
          <w:shd w:val="clear" w:color="auto" w:fill="FFFFFF"/>
        </w:rPr>
        <w:t>Disposable glove permeation test report provided by the manufacturer (2017; not published).</w:t>
      </w:r>
    </w:p>
    <w:p w14:paraId="34E893CD" w14:textId="44DC10A9" w:rsidR="00454C2E" w:rsidRPr="00AC1EEC" w:rsidRDefault="00454C2E" w:rsidP="00454C2E">
      <w:pPr>
        <w:shd w:val="clear" w:color="auto" w:fill="FFFFFF"/>
        <w:spacing w:beforeAutospacing="1" w:afterAutospacing="1"/>
        <w:rPr>
          <w:rFonts w:asciiTheme="minorHAnsi" w:hAnsiTheme="minorHAnsi" w:cstheme="minorHAnsi"/>
          <w:sz w:val="22"/>
          <w:szCs w:val="22"/>
        </w:rPr>
      </w:pPr>
      <w:r w:rsidRPr="00AC1EEC">
        <w:rPr>
          <w:rFonts w:asciiTheme="minorHAnsi" w:hAnsiTheme="minorHAnsi" w:cstheme="minorHAnsi"/>
          <w:color w:val="000000"/>
          <w:sz w:val="22"/>
          <w:szCs w:val="22"/>
          <w:shd w:val="clear" w:color="auto" w:fill="FFFFFF"/>
        </w:rPr>
        <w:t>Kimberly-Clark 2009. </w:t>
      </w:r>
      <w:hyperlink r:id="rId27" w:tgtFrame="new" w:history="1">
        <w:r w:rsidRPr="00AC1EEC">
          <w:rPr>
            <w:rStyle w:val="Hyperlink"/>
            <w:rFonts w:asciiTheme="minorHAnsi" w:hAnsiTheme="minorHAnsi" w:cstheme="minorHAnsi"/>
            <w:color w:val="auto"/>
            <w:sz w:val="22"/>
            <w:szCs w:val="22"/>
            <w:shd w:val="clear" w:color="auto" w:fill="FFFFFF"/>
          </w:rPr>
          <w:t>Kimberly-Clark Nitrile Gloves Chemical Resistance Guide</w:t>
        </w:r>
      </w:hyperlink>
      <w:r w:rsidRPr="00AC1EEC">
        <w:rPr>
          <w:rFonts w:asciiTheme="minorHAnsi" w:hAnsiTheme="minorHAnsi" w:cstheme="minorHAnsi"/>
          <w:sz w:val="22"/>
          <w:szCs w:val="22"/>
        </w:rPr>
        <w:t xml:space="preserve"> </w:t>
      </w:r>
      <w:hyperlink r:id="rId28" w:history="1">
        <w:r w:rsidRPr="00AC1EEC">
          <w:rPr>
            <w:rStyle w:val="Hyperlink"/>
            <w:rFonts w:asciiTheme="minorHAnsi" w:hAnsiTheme="minorHAnsi" w:cstheme="minorHAnsi"/>
            <w:sz w:val="22"/>
            <w:szCs w:val="22"/>
          </w:rPr>
          <w:t>http://www.kimtech.com/nitrilechemicalresistanceguide/K2365_09_01_SN%20Chem%20Guide_v10.pdf</w:t>
        </w:r>
      </w:hyperlink>
    </w:p>
    <w:p w14:paraId="597AE00F" w14:textId="560C45BB" w:rsidR="00454C2E" w:rsidRPr="00AC1EEC" w:rsidRDefault="006611EE" w:rsidP="00454C2E">
      <w:pPr>
        <w:shd w:val="clear" w:color="auto" w:fill="FFFFFF"/>
        <w:spacing w:beforeAutospacing="1" w:afterAutospacing="1"/>
        <w:rPr>
          <w:rFonts w:asciiTheme="minorHAnsi" w:hAnsiTheme="minorHAnsi" w:cstheme="minorHAnsi"/>
          <w:sz w:val="22"/>
          <w:szCs w:val="22"/>
        </w:rPr>
      </w:pPr>
      <w:r w:rsidRPr="00AC1EEC">
        <w:rPr>
          <w:rFonts w:asciiTheme="minorHAnsi" w:hAnsiTheme="minorHAnsi" w:cstheme="minorHAnsi"/>
          <w:sz w:val="22"/>
          <w:szCs w:val="22"/>
        </w:rPr>
        <w:t>C</w:t>
      </w:r>
      <w:r w:rsidR="00454C2E" w:rsidRPr="00AC1EEC">
        <w:rPr>
          <w:rFonts w:asciiTheme="minorHAnsi" w:hAnsiTheme="minorHAnsi" w:cstheme="minorHAnsi"/>
          <w:sz w:val="22"/>
          <w:szCs w:val="22"/>
        </w:rPr>
        <w:t xml:space="preserve">enters for Disease Control and Prevention. Cleaning and Disinfection for Community Facilities (Updated </w:t>
      </w:r>
      <w:r w:rsidRPr="00AC1EEC">
        <w:rPr>
          <w:rFonts w:asciiTheme="minorHAnsi" w:hAnsiTheme="minorHAnsi" w:cstheme="minorHAnsi"/>
          <w:sz w:val="22"/>
          <w:szCs w:val="22"/>
        </w:rPr>
        <w:t>Jan. 5</w:t>
      </w:r>
      <w:r w:rsidR="00454C2E" w:rsidRPr="00AC1EEC">
        <w:rPr>
          <w:rFonts w:asciiTheme="minorHAnsi" w:hAnsiTheme="minorHAnsi" w:cstheme="minorHAnsi"/>
          <w:sz w:val="22"/>
          <w:szCs w:val="22"/>
        </w:rPr>
        <w:t xml:space="preserve">, 2020) </w:t>
      </w:r>
      <w:hyperlink r:id="rId29" w:history="1">
        <w:r w:rsidR="00454C2E" w:rsidRPr="00AC1EEC">
          <w:rPr>
            <w:rStyle w:val="Hyperlink"/>
            <w:rFonts w:asciiTheme="minorHAnsi" w:hAnsiTheme="minorHAnsi" w:cstheme="minorHAnsi"/>
            <w:sz w:val="22"/>
            <w:szCs w:val="22"/>
          </w:rPr>
          <w:t>https://www.cdc.gov/coronavirus/2019-ncov/community/organizations/cleaning-disinfection.html</w:t>
        </w:r>
      </w:hyperlink>
    </w:p>
    <w:p w14:paraId="59F28F51" w14:textId="2D076D7B" w:rsidR="00454C2E" w:rsidRPr="00AC1EEC" w:rsidRDefault="00454C2E" w:rsidP="00454C2E">
      <w:pPr>
        <w:shd w:val="clear" w:color="auto" w:fill="FFFFFF"/>
        <w:spacing w:beforeAutospacing="1" w:afterAutospacing="1"/>
        <w:rPr>
          <w:rFonts w:asciiTheme="minorHAnsi" w:hAnsiTheme="minorHAnsi" w:cstheme="minorHAnsi"/>
          <w:color w:val="000000"/>
          <w:sz w:val="22"/>
          <w:szCs w:val="22"/>
        </w:rPr>
      </w:pPr>
      <w:r w:rsidRPr="00AC1EEC">
        <w:rPr>
          <w:rFonts w:asciiTheme="minorHAnsi" w:hAnsiTheme="minorHAnsi" w:cstheme="minorHAnsi"/>
          <w:color w:val="000000"/>
          <w:sz w:val="22"/>
          <w:szCs w:val="22"/>
        </w:rPr>
        <w:t xml:space="preserve">Tomas ME, </w:t>
      </w:r>
      <w:proofErr w:type="spellStart"/>
      <w:r w:rsidRPr="00AC1EEC">
        <w:rPr>
          <w:rFonts w:asciiTheme="minorHAnsi" w:hAnsiTheme="minorHAnsi" w:cstheme="minorHAnsi"/>
          <w:color w:val="000000"/>
          <w:sz w:val="22"/>
          <w:szCs w:val="22"/>
        </w:rPr>
        <w:t>Nerandzic</w:t>
      </w:r>
      <w:proofErr w:type="spellEnd"/>
      <w:r w:rsidRPr="00AC1EEC">
        <w:rPr>
          <w:rFonts w:asciiTheme="minorHAnsi" w:hAnsiTheme="minorHAnsi" w:cstheme="minorHAnsi"/>
          <w:color w:val="000000"/>
          <w:sz w:val="22"/>
          <w:szCs w:val="22"/>
        </w:rPr>
        <w:t xml:space="preserve"> MM, </w:t>
      </w:r>
      <w:proofErr w:type="spellStart"/>
      <w:r w:rsidRPr="00AC1EEC">
        <w:rPr>
          <w:rFonts w:asciiTheme="minorHAnsi" w:hAnsiTheme="minorHAnsi" w:cstheme="minorHAnsi"/>
          <w:color w:val="000000"/>
          <w:sz w:val="22"/>
          <w:szCs w:val="22"/>
        </w:rPr>
        <w:t>Cadnum</w:t>
      </w:r>
      <w:proofErr w:type="spellEnd"/>
      <w:r w:rsidRPr="00AC1EEC">
        <w:rPr>
          <w:rFonts w:asciiTheme="minorHAnsi" w:hAnsiTheme="minorHAnsi" w:cstheme="minorHAnsi"/>
          <w:color w:val="000000"/>
          <w:sz w:val="22"/>
          <w:szCs w:val="22"/>
        </w:rPr>
        <w:t xml:space="preserve"> JL, Mana TSC, </w:t>
      </w:r>
      <w:proofErr w:type="spellStart"/>
      <w:r w:rsidRPr="00AC1EEC">
        <w:rPr>
          <w:rFonts w:asciiTheme="minorHAnsi" w:hAnsiTheme="minorHAnsi" w:cstheme="minorHAnsi"/>
          <w:color w:val="000000"/>
          <w:sz w:val="22"/>
          <w:szCs w:val="22"/>
        </w:rPr>
        <w:t>Jencson</w:t>
      </w:r>
      <w:proofErr w:type="spellEnd"/>
      <w:r w:rsidRPr="00AC1EEC">
        <w:rPr>
          <w:rFonts w:asciiTheme="minorHAnsi" w:hAnsiTheme="minorHAnsi" w:cstheme="minorHAnsi"/>
          <w:color w:val="000000"/>
          <w:sz w:val="22"/>
          <w:szCs w:val="22"/>
        </w:rPr>
        <w:t xml:space="preserve"> A, </w:t>
      </w:r>
      <w:proofErr w:type="spellStart"/>
      <w:r w:rsidRPr="00AC1EEC">
        <w:rPr>
          <w:rFonts w:asciiTheme="minorHAnsi" w:hAnsiTheme="minorHAnsi" w:cstheme="minorHAnsi"/>
          <w:color w:val="000000"/>
          <w:sz w:val="22"/>
          <w:szCs w:val="22"/>
        </w:rPr>
        <w:t>Sunskesula</w:t>
      </w:r>
      <w:proofErr w:type="spellEnd"/>
      <w:r w:rsidRPr="00AC1EEC">
        <w:rPr>
          <w:rFonts w:asciiTheme="minorHAnsi" w:hAnsiTheme="minorHAnsi" w:cstheme="minorHAnsi"/>
          <w:color w:val="000000"/>
          <w:sz w:val="22"/>
          <w:szCs w:val="22"/>
        </w:rPr>
        <w:t xml:space="preserve"> V, </w:t>
      </w:r>
      <w:proofErr w:type="spellStart"/>
      <w:r w:rsidRPr="00AC1EEC">
        <w:rPr>
          <w:rFonts w:asciiTheme="minorHAnsi" w:hAnsiTheme="minorHAnsi" w:cstheme="minorHAnsi"/>
          <w:color w:val="000000"/>
          <w:sz w:val="22"/>
          <w:szCs w:val="22"/>
        </w:rPr>
        <w:t>Kundrapu</w:t>
      </w:r>
      <w:proofErr w:type="spellEnd"/>
      <w:r w:rsidRPr="00AC1EEC">
        <w:rPr>
          <w:rFonts w:asciiTheme="minorHAnsi" w:hAnsiTheme="minorHAnsi" w:cstheme="minorHAnsi"/>
          <w:color w:val="000000"/>
          <w:sz w:val="22"/>
          <w:szCs w:val="22"/>
        </w:rPr>
        <w:t xml:space="preserve"> S, Wilson BM, </w:t>
      </w:r>
      <w:proofErr w:type="spellStart"/>
      <w:r w:rsidRPr="00AC1EEC">
        <w:rPr>
          <w:rFonts w:asciiTheme="minorHAnsi" w:hAnsiTheme="minorHAnsi" w:cstheme="minorHAnsi"/>
          <w:color w:val="000000"/>
          <w:sz w:val="22"/>
          <w:szCs w:val="22"/>
        </w:rPr>
        <w:t>Donskey</w:t>
      </w:r>
      <w:proofErr w:type="spellEnd"/>
      <w:r w:rsidRPr="00AC1EEC">
        <w:rPr>
          <w:rFonts w:asciiTheme="minorHAnsi" w:hAnsiTheme="minorHAnsi" w:cstheme="minorHAnsi"/>
          <w:color w:val="000000"/>
          <w:sz w:val="22"/>
          <w:szCs w:val="22"/>
        </w:rPr>
        <w:t xml:space="preserve"> CJ. </w:t>
      </w:r>
      <w:hyperlink r:id="rId30" w:history="1">
        <w:r w:rsidRPr="00AC1EEC">
          <w:rPr>
            <w:rFonts w:asciiTheme="minorHAnsi" w:hAnsiTheme="minorHAnsi" w:cstheme="minorHAnsi"/>
            <w:sz w:val="22"/>
            <w:szCs w:val="22"/>
            <w:u w:val="single"/>
          </w:rPr>
          <w:t xml:space="preserve">A novel, sporicidal formulation of ethanol for glove decontamination to prevent Clostridium difficile hand contamination during glove removal </w:t>
        </w:r>
      </w:hyperlink>
      <w:r w:rsidRPr="00AC1EEC">
        <w:rPr>
          <w:rFonts w:asciiTheme="minorHAnsi" w:hAnsiTheme="minorHAnsi" w:cstheme="minorHAnsi"/>
          <w:color w:val="000000"/>
          <w:sz w:val="22"/>
          <w:szCs w:val="22"/>
        </w:rPr>
        <w:t>. </w:t>
      </w:r>
      <w:r w:rsidRPr="00AC1EEC">
        <w:rPr>
          <w:rFonts w:asciiTheme="minorHAnsi" w:hAnsiTheme="minorHAnsi" w:cstheme="minorHAnsi"/>
          <w:i/>
          <w:iCs/>
          <w:color w:val="000000"/>
          <w:sz w:val="22"/>
          <w:szCs w:val="22"/>
        </w:rPr>
        <w:t>Infection Control &amp; Hospital Epidemiology</w:t>
      </w:r>
      <w:r w:rsidRPr="00AC1EEC">
        <w:rPr>
          <w:rFonts w:asciiTheme="minorHAnsi" w:hAnsiTheme="minorHAnsi" w:cstheme="minorHAnsi"/>
          <w:color w:val="000000"/>
          <w:sz w:val="22"/>
          <w:szCs w:val="22"/>
        </w:rPr>
        <w:t xml:space="preserve">. 2016, 37, 337-339, </w:t>
      </w:r>
      <w:proofErr w:type="spellStart"/>
      <w:r w:rsidRPr="00AC1EEC">
        <w:rPr>
          <w:rFonts w:asciiTheme="minorHAnsi" w:hAnsiTheme="minorHAnsi" w:cstheme="minorHAnsi"/>
          <w:color w:val="000000"/>
          <w:sz w:val="22"/>
          <w:szCs w:val="22"/>
        </w:rPr>
        <w:t>doi</w:t>
      </w:r>
      <w:proofErr w:type="spellEnd"/>
      <w:r w:rsidRPr="00AC1EEC">
        <w:rPr>
          <w:rFonts w:asciiTheme="minorHAnsi" w:hAnsiTheme="minorHAnsi" w:cstheme="minorHAnsi"/>
          <w:color w:val="000000"/>
          <w:sz w:val="22"/>
          <w:szCs w:val="22"/>
        </w:rPr>
        <w:t xml:space="preserve">: 10.1017/ice.2015.289 </w:t>
      </w:r>
      <w:hyperlink r:id="rId31" w:history="1">
        <w:r w:rsidRPr="00AC1EEC">
          <w:rPr>
            <w:rStyle w:val="Hyperlink"/>
            <w:rFonts w:asciiTheme="minorHAnsi" w:hAnsiTheme="minorHAnsi" w:cstheme="minorHAnsi"/>
            <w:sz w:val="22"/>
            <w:szCs w:val="22"/>
          </w:rPr>
          <w:t>https://www.cambridge.org/core/journals/infection-control-and-hospital-epidemiology/article/abs/novel-sporicidal-formulation-of-ethanol-for-glove-decontamination-to-prevent-clostridium-difficile-hand-contamination-during-glove-removal/83BEF30902B91D8EFEB8C4D7396917CF</w:t>
        </w:r>
      </w:hyperlink>
    </w:p>
    <w:p w14:paraId="7EB01CF2" w14:textId="77777777" w:rsidR="00BA375A" w:rsidRPr="00AC1EEC" w:rsidRDefault="00BA375A" w:rsidP="00454C2E">
      <w:pPr>
        <w:pStyle w:val="BodyTextIndent"/>
        <w:ind w:left="0"/>
        <w:rPr>
          <w:rFonts w:asciiTheme="minorHAnsi" w:hAnsiTheme="minorHAnsi" w:cstheme="minorHAnsi"/>
          <w:b/>
          <w:sz w:val="22"/>
          <w:szCs w:val="22"/>
        </w:rPr>
      </w:pPr>
    </w:p>
    <w:sectPr w:rsidR="00BA375A" w:rsidRPr="00AC1EEC" w:rsidSect="00DE7AF9">
      <w:headerReference w:type="default" r:id="rId32"/>
      <w:footerReference w:type="default" r:id="rId33"/>
      <w:headerReference w:type="first" r:id="rId3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AA4E5" w14:textId="77777777" w:rsidR="0057516A" w:rsidRDefault="0057516A" w:rsidP="00FE158D">
      <w:r>
        <w:separator/>
      </w:r>
    </w:p>
  </w:endnote>
  <w:endnote w:type="continuationSeparator" w:id="0">
    <w:p w14:paraId="2AA42217" w14:textId="77777777" w:rsidR="0057516A" w:rsidRDefault="0057516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2F498" w14:textId="77777777" w:rsidR="0057516A" w:rsidRDefault="0057516A" w:rsidP="00FE158D">
      <w:r>
        <w:separator/>
      </w:r>
    </w:p>
  </w:footnote>
  <w:footnote w:type="continuationSeparator" w:id="0">
    <w:p w14:paraId="7D8C6455" w14:textId="77777777" w:rsidR="0057516A" w:rsidRDefault="0057516A"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F63A5A"/>
    <w:multiLevelType w:val="multilevel"/>
    <w:tmpl w:val="896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972EB"/>
    <w:multiLevelType w:val="multilevel"/>
    <w:tmpl w:val="D02E2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D0EE3"/>
    <w:multiLevelType w:val="multilevel"/>
    <w:tmpl w:val="BC72DE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52A30"/>
    <w:multiLevelType w:val="hybridMultilevel"/>
    <w:tmpl w:val="E1B4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47928"/>
    <w:multiLevelType w:val="multilevel"/>
    <w:tmpl w:val="AA62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32131F"/>
    <w:multiLevelType w:val="hybridMultilevel"/>
    <w:tmpl w:val="86D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A027A"/>
    <w:multiLevelType w:val="multilevel"/>
    <w:tmpl w:val="510C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71777"/>
    <w:multiLevelType w:val="hybridMultilevel"/>
    <w:tmpl w:val="2BB87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6610E"/>
    <w:multiLevelType w:val="multilevel"/>
    <w:tmpl w:val="546A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376C7"/>
    <w:multiLevelType w:val="multilevel"/>
    <w:tmpl w:val="2074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D3D70"/>
    <w:multiLevelType w:val="multilevel"/>
    <w:tmpl w:val="4C9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B086B"/>
    <w:multiLevelType w:val="hybridMultilevel"/>
    <w:tmpl w:val="A1549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B47B4"/>
    <w:multiLevelType w:val="hybridMultilevel"/>
    <w:tmpl w:val="C5CA5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D55C8"/>
    <w:multiLevelType w:val="multilevel"/>
    <w:tmpl w:val="31306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8A0B7E"/>
    <w:multiLevelType w:val="hybridMultilevel"/>
    <w:tmpl w:val="2DFEB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E7FD9"/>
    <w:multiLevelType w:val="multilevel"/>
    <w:tmpl w:val="10FC0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12"/>
  </w:num>
  <w:num w:numId="4">
    <w:abstractNumId w:val="4"/>
  </w:num>
  <w:num w:numId="5">
    <w:abstractNumId w:val="9"/>
  </w:num>
  <w:num w:numId="6">
    <w:abstractNumId w:val="6"/>
  </w:num>
  <w:num w:numId="7">
    <w:abstractNumId w:val="15"/>
  </w:num>
  <w:num w:numId="8">
    <w:abstractNumId w:val="1"/>
  </w:num>
  <w:num w:numId="9">
    <w:abstractNumId w:val="10"/>
  </w:num>
  <w:num w:numId="10">
    <w:abstractNumId w:val="3"/>
  </w:num>
  <w:num w:numId="11">
    <w:abstractNumId w:val="16"/>
  </w:num>
  <w:num w:numId="12">
    <w:abstractNumId w:val="11"/>
  </w:num>
  <w:num w:numId="13">
    <w:abstractNumId w:val="2"/>
  </w:num>
  <w:num w:numId="14">
    <w:abstractNumId w:val="7"/>
  </w:num>
  <w:num w:numId="15">
    <w:abstractNumId w:val="5"/>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40F8"/>
    <w:rsid w:val="00066D50"/>
    <w:rsid w:val="0007409B"/>
    <w:rsid w:val="00075937"/>
    <w:rsid w:val="00076485"/>
    <w:rsid w:val="000853C5"/>
    <w:rsid w:val="00094EEE"/>
    <w:rsid w:val="000B0803"/>
    <w:rsid w:val="000D380A"/>
    <w:rsid w:val="000D59DD"/>
    <w:rsid w:val="000D5B62"/>
    <w:rsid w:val="000E228A"/>
    <w:rsid w:val="000F7E90"/>
    <w:rsid w:val="00102A96"/>
    <w:rsid w:val="00102AA9"/>
    <w:rsid w:val="00104925"/>
    <w:rsid w:val="001139B8"/>
    <w:rsid w:val="0012309D"/>
    <w:rsid w:val="00144BE0"/>
    <w:rsid w:val="00150B80"/>
    <w:rsid w:val="00170AD2"/>
    <w:rsid w:val="001813CB"/>
    <w:rsid w:val="00185739"/>
    <w:rsid w:val="0019504D"/>
    <w:rsid w:val="001A05C4"/>
    <w:rsid w:val="001D186C"/>
    <w:rsid w:val="00234C60"/>
    <w:rsid w:val="002376A2"/>
    <w:rsid w:val="00286594"/>
    <w:rsid w:val="002C5F29"/>
    <w:rsid w:val="002D68EE"/>
    <w:rsid w:val="002F2B8A"/>
    <w:rsid w:val="003011C7"/>
    <w:rsid w:val="00301AA8"/>
    <w:rsid w:val="0031633A"/>
    <w:rsid w:val="00317996"/>
    <w:rsid w:val="0033490A"/>
    <w:rsid w:val="00365C99"/>
    <w:rsid w:val="00372DF7"/>
    <w:rsid w:val="003734C7"/>
    <w:rsid w:val="00373CF0"/>
    <w:rsid w:val="003A2BFC"/>
    <w:rsid w:val="003A3E8D"/>
    <w:rsid w:val="003B0939"/>
    <w:rsid w:val="003C521D"/>
    <w:rsid w:val="003F0C77"/>
    <w:rsid w:val="00402197"/>
    <w:rsid w:val="00416F96"/>
    <w:rsid w:val="00454C2E"/>
    <w:rsid w:val="004613FA"/>
    <w:rsid w:val="00474487"/>
    <w:rsid w:val="00482A2F"/>
    <w:rsid w:val="00484844"/>
    <w:rsid w:val="00486625"/>
    <w:rsid w:val="00493CCB"/>
    <w:rsid w:val="004965F2"/>
    <w:rsid w:val="00496603"/>
    <w:rsid w:val="004E238D"/>
    <w:rsid w:val="00534CAA"/>
    <w:rsid w:val="0053732B"/>
    <w:rsid w:val="005438CB"/>
    <w:rsid w:val="00561F7F"/>
    <w:rsid w:val="0057516A"/>
    <w:rsid w:val="005817E5"/>
    <w:rsid w:val="00593E4B"/>
    <w:rsid w:val="005A0899"/>
    <w:rsid w:val="005F036A"/>
    <w:rsid w:val="006034EC"/>
    <w:rsid w:val="00603AC0"/>
    <w:rsid w:val="00605605"/>
    <w:rsid w:val="00610027"/>
    <w:rsid w:val="006338B1"/>
    <w:rsid w:val="00647D49"/>
    <w:rsid w:val="006611EE"/>
    <w:rsid w:val="0066706B"/>
    <w:rsid w:val="00672B98"/>
    <w:rsid w:val="006A3CC2"/>
    <w:rsid w:val="006B2ED2"/>
    <w:rsid w:val="006C1E77"/>
    <w:rsid w:val="006C7A0C"/>
    <w:rsid w:val="007251EF"/>
    <w:rsid w:val="00746482"/>
    <w:rsid w:val="00783084"/>
    <w:rsid w:val="007A61F1"/>
    <w:rsid w:val="007C31B4"/>
    <w:rsid w:val="007E628F"/>
    <w:rsid w:val="007F26C3"/>
    <w:rsid w:val="007F48A5"/>
    <w:rsid w:val="008032F0"/>
    <w:rsid w:val="00805910"/>
    <w:rsid w:val="008259FB"/>
    <w:rsid w:val="00883AD3"/>
    <w:rsid w:val="008E23A9"/>
    <w:rsid w:val="008E7224"/>
    <w:rsid w:val="008F1ABA"/>
    <w:rsid w:val="009073EC"/>
    <w:rsid w:val="00933CDE"/>
    <w:rsid w:val="009478FB"/>
    <w:rsid w:val="00951B77"/>
    <w:rsid w:val="00974E22"/>
    <w:rsid w:val="009854C3"/>
    <w:rsid w:val="009B6871"/>
    <w:rsid w:val="009B7479"/>
    <w:rsid w:val="009C106D"/>
    <w:rsid w:val="009C583E"/>
    <w:rsid w:val="009D68BB"/>
    <w:rsid w:val="009E3CAC"/>
    <w:rsid w:val="009F0488"/>
    <w:rsid w:val="00A039B0"/>
    <w:rsid w:val="00A077A1"/>
    <w:rsid w:val="00A25232"/>
    <w:rsid w:val="00A420F6"/>
    <w:rsid w:val="00A723F9"/>
    <w:rsid w:val="00A86993"/>
    <w:rsid w:val="00A9460A"/>
    <w:rsid w:val="00AA7C93"/>
    <w:rsid w:val="00AB677E"/>
    <w:rsid w:val="00AC0FC3"/>
    <w:rsid w:val="00AC1EEC"/>
    <w:rsid w:val="00AF4326"/>
    <w:rsid w:val="00B019EA"/>
    <w:rsid w:val="00B07E39"/>
    <w:rsid w:val="00B24FB4"/>
    <w:rsid w:val="00B72C0A"/>
    <w:rsid w:val="00B83DED"/>
    <w:rsid w:val="00BA375A"/>
    <w:rsid w:val="00BA3E30"/>
    <w:rsid w:val="00BA4702"/>
    <w:rsid w:val="00BB507F"/>
    <w:rsid w:val="00BB6F53"/>
    <w:rsid w:val="00BB7A1D"/>
    <w:rsid w:val="00BC5920"/>
    <w:rsid w:val="00BC79D8"/>
    <w:rsid w:val="00BC7BF4"/>
    <w:rsid w:val="00C0102E"/>
    <w:rsid w:val="00C07AB1"/>
    <w:rsid w:val="00C170A5"/>
    <w:rsid w:val="00C232F8"/>
    <w:rsid w:val="00C2740E"/>
    <w:rsid w:val="00C47D16"/>
    <w:rsid w:val="00C71D53"/>
    <w:rsid w:val="00C82867"/>
    <w:rsid w:val="00C90333"/>
    <w:rsid w:val="00CC2821"/>
    <w:rsid w:val="00CC4394"/>
    <w:rsid w:val="00CE786A"/>
    <w:rsid w:val="00D14AE0"/>
    <w:rsid w:val="00D2277C"/>
    <w:rsid w:val="00D63097"/>
    <w:rsid w:val="00D7367E"/>
    <w:rsid w:val="00D82257"/>
    <w:rsid w:val="00D94C59"/>
    <w:rsid w:val="00DB2876"/>
    <w:rsid w:val="00DB6D68"/>
    <w:rsid w:val="00DB7A52"/>
    <w:rsid w:val="00DC40AB"/>
    <w:rsid w:val="00DC4E97"/>
    <w:rsid w:val="00DE7AF9"/>
    <w:rsid w:val="00E116F7"/>
    <w:rsid w:val="00E42F64"/>
    <w:rsid w:val="00E4366C"/>
    <w:rsid w:val="00E66BB5"/>
    <w:rsid w:val="00E94EC6"/>
    <w:rsid w:val="00ED6153"/>
    <w:rsid w:val="00EE0E87"/>
    <w:rsid w:val="00EE3240"/>
    <w:rsid w:val="00EF0A00"/>
    <w:rsid w:val="00F30CA3"/>
    <w:rsid w:val="00F5332B"/>
    <w:rsid w:val="00FA2473"/>
    <w:rsid w:val="00FB157C"/>
    <w:rsid w:val="00FB294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4E97"/>
    <w:pPr>
      <w:keepNext/>
      <w:tabs>
        <w:tab w:val="center" w:pos="4680"/>
      </w:tabs>
      <w:suppressAutoHyphens/>
      <w:outlineLvl w:val="0"/>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BodyTextIndent">
    <w:name w:val="Body Text Indent"/>
    <w:basedOn w:val="Normal"/>
    <w:link w:val="BodyTextIndentChar"/>
    <w:rsid w:val="001813CB"/>
    <w:pPr>
      <w:tabs>
        <w:tab w:val="left" w:pos="-720"/>
      </w:tabs>
      <w:suppressAutoHyphens/>
      <w:ind w:left="792"/>
      <w:jc w:val="both"/>
    </w:pPr>
    <w:rPr>
      <w:spacing w:val="-3"/>
    </w:rPr>
  </w:style>
  <w:style w:type="character" w:customStyle="1" w:styleId="BodyTextIndentChar">
    <w:name w:val="Body Text Indent Char"/>
    <w:basedOn w:val="DefaultParagraphFont"/>
    <w:link w:val="BodyTextIndent"/>
    <w:rsid w:val="001813CB"/>
    <w:rPr>
      <w:rFonts w:ascii="Times New Roman" w:eastAsia="Times New Roman" w:hAnsi="Times New Roman" w:cs="Times New Roman"/>
      <w:spacing w:val="-3"/>
      <w:sz w:val="24"/>
      <w:szCs w:val="20"/>
    </w:rPr>
  </w:style>
  <w:style w:type="table" w:styleId="TableGrid">
    <w:name w:val="Table Grid"/>
    <w:basedOn w:val="TableNormal"/>
    <w:uiPriority w:val="39"/>
    <w:rsid w:val="0018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6F53"/>
    <w:rPr>
      <w:b/>
      <w:bCs/>
    </w:rPr>
  </w:style>
  <w:style w:type="character" w:customStyle="1" w:styleId="CommentSubjectChar">
    <w:name w:val="Comment Subject Char"/>
    <w:basedOn w:val="CommentTextChar"/>
    <w:link w:val="CommentSubject"/>
    <w:uiPriority w:val="99"/>
    <w:semiHidden/>
    <w:rsid w:val="00BB6F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B6F53"/>
    <w:rPr>
      <w:color w:val="605E5C"/>
      <w:shd w:val="clear" w:color="auto" w:fill="E1DFDD"/>
    </w:rPr>
  </w:style>
  <w:style w:type="character" w:styleId="FollowedHyperlink">
    <w:name w:val="FollowedHyperlink"/>
    <w:basedOn w:val="DefaultParagraphFont"/>
    <w:uiPriority w:val="99"/>
    <w:semiHidden/>
    <w:unhideWhenUsed/>
    <w:rsid w:val="000D59DD"/>
    <w:rPr>
      <w:color w:val="954F72" w:themeColor="followedHyperlink"/>
      <w:u w:val="single"/>
    </w:rPr>
  </w:style>
  <w:style w:type="paragraph" w:styleId="NormalWeb">
    <w:name w:val="Normal (Web)"/>
    <w:basedOn w:val="Normal"/>
    <w:uiPriority w:val="99"/>
    <w:unhideWhenUsed/>
    <w:rsid w:val="003C521D"/>
    <w:rPr>
      <w:szCs w:val="24"/>
    </w:rPr>
  </w:style>
  <w:style w:type="character" w:customStyle="1" w:styleId="Heading1Char">
    <w:name w:val="Heading 1 Char"/>
    <w:basedOn w:val="DefaultParagraphFont"/>
    <w:link w:val="Heading1"/>
    <w:rsid w:val="00DC4E97"/>
    <w:rPr>
      <w:rFonts w:ascii="Times New Roman" w:eastAsia="Times New Roman" w:hAnsi="Times New Roman" w:cs="Times New Roman"/>
      <w:b/>
      <w:spacing w:val="-3"/>
      <w:szCs w:val="20"/>
    </w:rPr>
  </w:style>
  <w:style w:type="character" w:styleId="Strong">
    <w:name w:val="Strong"/>
    <w:uiPriority w:val="22"/>
    <w:qFormat/>
    <w:rsid w:val="00DC4E97"/>
    <w:rPr>
      <w:b/>
      <w:bCs/>
    </w:rPr>
  </w:style>
  <w:style w:type="character" w:styleId="Emphasis">
    <w:name w:val="Emphasis"/>
    <w:basedOn w:val="DefaultParagraphFont"/>
    <w:uiPriority w:val="20"/>
    <w:qFormat/>
    <w:rsid w:val="00DC4E97"/>
    <w:rPr>
      <w:i/>
      <w:iCs/>
    </w:rPr>
  </w:style>
  <w:style w:type="character" w:customStyle="1" w:styleId="sr-only">
    <w:name w:val="sr-only"/>
    <w:basedOn w:val="DefaultParagraphFont"/>
    <w:rsid w:val="00D9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6892">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589125134">
      <w:bodyDiv w:val="1"/>
      <w:marLeft w:val="0"/>
      <w:marRight w:val="0"/>
      <w:marTop w:val="0"/>
      <w:marBottom w:val="0"/>
      <w:divBdr>
        <w:top w:val="none" w:sz="0" w:space="0" w:color="auto"/>
        <w:left w:val="none" w:sz="0" w:space="0" w:color="auto"/>
        <w:bottom w:val="none" w:sz="0" w:space="0" w:color="auto"/>
        <w:right w:val="none" w:sz="0" w:space="0" w:color="auto"/>
      </w:divBdr>
    </w:div>
    <w:div w:id="662465110">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084304518">
      <w:bodyDiv w:val="1"/>
      <w:marLeft w:val="0"/>
      <w:marRight w:val="0"/>
      <w:marTop w:val="0"/>
      <w:marBottom w:val="0"/>
      <w:divBdr>
        <w:top w:val="none" w:sz="0" w:space="0" w:color="auto"/>
        <w:left w:val="none" w:sz="0" w:space="0" w:color="auto"/>
        <w:bottom w:val="none" w:sz="0" w:space="0" w:color="auto"/>
        <w:right w:val="none" w:sz="0" w:space="0" w:color="auto"/>
      </w:divBdr>
    </w:div>
    <w:div w:id="1237469707">
      <w:bodyDiv w:val="1"/>
      <w:marLeft w:val="0"/>
      <w:marRight w:val="0"/>
      <w:marTop w:val="0"/>
      <w:marBottom w:val="0"/>
      <w:divBdr>
        <w:top w:val="none" w:sz="0" w:space="0" w:color="auto"/>
        <w:left w:val="none" w:sz="0" w:space="0" w:color="auto"/>
        <w:bottom w:val="none" w:sz="0" w:space="0" w:color="auto"/>
        <w:right w:val="none" w:sz="0" w:space="0" w:color="auto"/>
      </w:divBdr>
    </w:div>
    <w:div w:id="1246262698">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398478404">
      <w:bodyDiv w:val="1"/>
      <w:marLeft w:val="0"/>
      <w:marRight w:val="0"/>
      <w:marTop w:val="0"/>
      <w:marBottom w:val="0"/>
      <w:divBdr>
        <w:top w:val="none" w:sz="0" w:space="0" w:color="auto"/>
        <w:left w:val="none" w:sz="0" w:space="0" w:color="auto"/>
        <w:bottom w:val="none" w:sz="0" w:space="0" w:color="auto"/>
        <w:right w:val="none" w:sz="0" w:space="0" w:color="auto"/>
      </w:divBdr>
    </w:div>
    <w:div w:id="1433698248">
      <w:bodyDiv w:val="1"/>
      <w:marLeft w:val="0"/>
      <w:marRight w:val="0"/>
      <w:marTop w:val="0"/>
      <w:marBottom w:val="0"/>
      <w:divBdr>
        <w:top w:val="none" w:sz="0" w:space="0" w:color="auto"/>
        <w:left w:val="none" w:sz="0" w:space="0" w:color="auto"/>
        <w:bottom w:val="none" w:sz="0" w:space="0" w:color="auto"/>
        <w:right w:val="none" w:sz="0" w:space="0" w:color="auto"/>
      </w:divBdr>
    </w:div>
    <w:div w:id="1471243783">
      <w:bodyDiv w:val="1"/>
      <w:marLeft w:val="0"/>
      <w:marRight w:val="0"/>
      <w:marTop w:val="0"/>
      <w:marBottom w:val="0"/>
      <w:divBdr>
        <w:top w:val="none" w:sz="0" w:space="0" w:color="auto"/>
        <w:left w:val="none" w:sz="0" w:space="0" w:color="auto"/>
        <w:bottom w:val="none" w:sz="0" w:space="0" w:color="auto"/>
        <w:right w:val="none" w:sz="0" w:space="0" w:color="auto"/>
      </w:divBdr>
    </w:div>
    <w:div w:id="1626883002">
      <w:bodyDiv w:val="1"/>
      <w:marLeft w:val="0"/>
      <w:marRight w:val="0"/>
      <w:marTop w:val="0"/>
      <w:marBottom w:val="0"/>
      <w:divBdr>
        <w:top w:val="none" w:sz="0" w:space="0" w:color="auto"/>
        <w:left w:val="none" w:sz="0" w:space="0" w:color="auto"/>
        <w:bottom w:val="none" w:sz="0" w:space="0" w:color="auto"/>
        <w:right w:val="none" w:sz="0" w:space="0" w:color="auto"/>
      </w:divBdr>
    </w:div>
    <w:div w:id="1768385629">
      <w:bodyDiv w:val="1"/>
      <w:marLeft w:val="0"/>
      <w:marRight w:val="0"/>
      <w:marTop w:val="0"/>
      <w:marBottom w:val="0"/>
      <w:divBdr>
        <w:top w:val="none" w:sz="0" w:space="0" w:color="auto"/>
        <w:left w:val="none" w:sz="0" w:space="0" w:color="auto"/>
        <w:bottom w:val="none" w:sz="0" w:space="0" w:color="auto"/>
        <w:right w:val="none" w:sz="0" w:space="0" w:color="auto"/>
      </w:divBdr>
    </w:div>
    <w:div w:id="1974826377">
      <w:bodyDiv w:val="1"/>
      <w:marLeft w:val="0"/>
      <w:marRight w:val="0"/>
      <w:marTop w:val="0"/>
      <w:marBottom w:val="0"/>
      <w:divBdr>
        <w:top w:val="none" w:sz="0" w:space="0" w:color="auto"/>
        <w:left w:val="none" w:sz="0" w:space="0" w:color="auto"/>
        <w:bottom w:val="none" w:sz="0" w:space="0" w:color="auto"/>
        <w:right w:val="none" w:sz="0" w:space="0" w:color="auto"/>
      </w:divBdr>
    </w:div>
    <w:div w:id="21023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burn-calculator.html" TargetMode="External"/><Relationship Id="rId13" Type="http://schemas.openxmlformats.org/officeDocument/2006/relationships/hyperlink" Target="https://www.cdc.gov/coronavirus/2019-ncov/hcp/ppe-strategy/burn-calculator.html" TargetMode="External"/><Relationship Id="rId18" Type="http://schemas.openxmlformats.org/officeDocument/2006/relationships/hyperlink" Target="https://www.cdc.gov/coronavirus/2019-ncov/hcp/ppe-strategy/gloves.html" TargetMode="External"/><Relationship Id="rId26" Type="http://schemas.openxmlformats.org/officeDocument/2006/relationships/hyperlink" Target="https://www.cdc.gov/handhygiene/index.html" TargetMode="External"/><Relationship Id="rId3" Type="http://schemas.openxmlformats.org/officeDocument/2006/relationships/styles" Target="styles.xml"/><Relationship Id="rId21" Type="http://schemas.openxmlformats.org/officeDocument/2006/relationships/hyperlink" Target="https://www.fda.gov/medical-devices/letters-health-care-providers/medical-glove-conservation-strategies-letter-health-care-provider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dc.gov/coronavirus/2019-ncov/hcp/ppe-strategy/gloves.html" TargetMode="External"/><Relationship Id="rId17" Type="http://schemas.openxmlformats.org/officeDocument/2006/relationships/hyperlink" Target="https://www.youtube.com/watch?v=PQxOc13DxvQ&amp;feature=youtu.be" TargetMode="External"/><Relationship Id="rId25" Type="http://schemas.openxmlformats.org/officeDocument/2006/relationships/hyperlink" Target="https://pubmed.ncbi.nlm.nih.gov/1008420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H4jQUBAlBrI" TargetMode="External"/><Relationship Id="rId20" Type="http://schemas.openxmlformats.org/officeDocument/2006/relationships/hyperlink" Target="https://www.cdc.gov/coronavirus/2019-ncov/hcp/ppe-strategy/gloves.html" TargetMode="External"/><Relationship Id="rId29" Type="http://schemas.openxmlformats.org/officeDocument/2006/relationships/hyperlink" Target="https://www.cdc.gov/coronavirus/2019-ncov/community/organizations/cleaning-disinfec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ppe-strategy/burn-calculator.html" TargetMode="External"/><Relationship Id="rId24" Type="http://schemas.openxmlformats.org/officeDocument/2006/relationships/hyperlink" Target="https://www.ncbi.nlm.nih.gov/pubmed/1008420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coronavirus/2019-ncov/hcp/respirators-strategy/index.html?CDC_AA_refVal=https%3A%2F%2Fwww.cdc.gov%2Fcoronavirus%2F2019-ncov%2Fhcp%2Frespirators-strategy%2Fconventional-capacity-strategies.html" TargetMode="External"/><Relationship Id="rId23" Type="http://schemas.openxmlformats.org/officeDocument/2006/relationships/hyperlink" Target="https://www.tandfonline.com/doi/full/10.1080/15459624.2016.1191640" TargetMode="External"/><Relationship Id="rId28" Type="http://schemas.openxmlformats.org/officeDocument/2006/relationships/hyperlink" Target="http://www.kimtech.com/nitrilechemicalresistanceguide/K2365_09_01_SN%20Chem%20Guide_v10.pdf" TargetMode="External"/><Relationship Id="rId36" Type="http://schemas.openxmlformats.org/officeDocument/2006/relationships/theme" Target="theme/theme1.xml"/><Relationship Id="rId10" Type="http://schemas.openxmlformats.org/officeDocument/2006/relationships/hyperlink" Target="https://www.cdc.gov/coronavirus/2019-ncov/hcp/ppe-strategy/gloves.html" TargetMode="External"/><Relationship Id="rId19" Type="http://schemas.openxmlformats.org/officeDocument/2006/relationships/hyperlink" Target="https://www.cdc.gov/coronavirus/2019-ncov/prevent-getting-sick/disinfecting-your-home.html" TargetMode="External"/><Relationship Id="rId31" Type="http://schemas.openxmlformats.org/officeDocument/2006/relationships/hyperlink" Target="https://www.cambridge.org/core/journals/infection-control-and-hospital-epidemiology/article/abs/novel-sporicidal-formulation-of-ethanol-for-glove-decontamination-to-prevent-clostridium-difficile-hand-contamination-during-glove-removal/83BEF30902B91D8EFEB8C4D7396917CF" TargetMode="External"/><Relationship Id="rId4" Type="http://schemas.openxmlformats.org/officeDocument/2006/relationships/settings" Target="settings.xml"/><Relationship Id="rId9" Type="http://schemas.openxmlformats.org/officeDocument/2006/relationships/hyperlink" Target="https://www.cdc.gov/coronavirus/2019-ncov/hcp/ppe-strategy/gloves.html" TargetMode="External"/><Relationship Id="rId14" Type="http://schemas.openxmlformats.org/officeDocument/2006/relationships/hyperlink" Target="https://www.cdc.gov/coronavirus/2019-ncov/hcp/ppe-strategy/burn-calculator.html" TargetMode="External"/><Relationship Id="rId22" Type="http://schemas.openxmlformats.org/officeDocument/2006/relationships/hyperlink" Target="https://www.tandfonline.com/doi/full/10.1080/15459624.2016.1191640" TargetMode="External"/><Relationship Id="rId27" Type="http://schemas.openxmlformats.org/officeDocument/2006/relationships/hyperlink" Target="http://www.kimtech.com/nitrilechemicalresistanceguide/K2365_09_01_SN%20Chem%20Guide_v10.pdf" TargetMode="External"/><Relationship Id="rId30" Type="http://schemas.openxmlformats.org/officeDocument/2006/relationships/hyperlink" Target="https://doi.org/10.1017/ice.2015.289"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BA80-7AE3-43BC-B76A-05AD8A1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6</cp:revision>
  <dcterms:created xsi:type="dcterms:W3CDTF">2021-02-12T21:09:00Z</dcterms:created>
  <dcterms:modified xsi:type="dcterms:W3CDTF">2021-03-04T16:10:00Z</dcterms:modified>
</cp:coreProperties>
</file>