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1B648" w14:textId="77777777" w:rsidR="00555E03" w:rsidRDefault="00985A8C" w:rsidP="00B24D8D">
                            <w:pPr>
                              <w:rPr>
                                <w:rFonts w:ascii="Calibri" w:hAnsi="Calibri"/>
                                <w:b/>
                                <w:color w:val="FFFFFF" w:themeColor="background1"/>
                                <w:sz w:val="72"/>
                              </w:rPr>
                            </w:pPr>
                            <w:r>
                              <w:rPr>
                                <w:rFonts w:ascii="Calibri" w:hAnsi="Calibri"/>
                                <w:b/>
                                <w:color w:val="FFFFFF" w:themeColor="background1"/>
                                <w:sz w:val="72"/>
                              </w:rPr>
                              <w:t xml:space="preserve">Pneumococcal Vaccine Program </w:t>
                            </w:r>
                          </w:p>
                          <w:p w14:paraId="460BB61B" w14:textId="0C988BEF" w:rsidR="00EB07DC" w:rsidRDefault="00985A8C" w:rsidP="00B24D8D">
                            <w:pPr>
                              <w:rPr>
                                <w:rFonts w:ascii="Calibri" w:hAnsi="Calibri"/>
                                <w:b/>
                                <w:color w:val="FFFFFF" w:themeColor="background1"/>
                                <w:sz w:val="72"/>
                              </w:rPr>
                            </w:pPr>
                            <w:r>
                              <w:rPr>
                                <w:rFonts w:ascii="Calibri" w:hAnsi="Calibri"/>
                                <w:b/>
                                <w:color w:val="FFFFFF" w:themeColor="background1"/>
                                <w:sz w:val="72"/>
                              </w:rPr>
                              <w:t>Policy</w:t>
                            </w:r>
                            <w:r w:rsidR="00555E03">
                              <w:rPr>
                                <w:rFonts w:ascii="Calibri" w:hAnsi="Calibri"/>
                                <w:b/>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1431B648" w14:textId="77777777" w:rsidR="00555E03" w:rsidRDefault="00985A8C" w:rsidP="00B24D8D">
                      <w:pPr>
                        <w:rPr>
                          <w:rFonts w:ascii="Calibri" w:hAnsi="Calibri"/>
                          <w:b/>
                          <w:color w:val="FFFFFF" w:themeColor="background1"/>
                          <w:sz w:val="72"/>
                        </w:rPr>
                      </w:pPr>
                      <w:r>
                        <w:rPr>
                          <w:rFonts w:ascii="Calibri" w:hAnsi="Calibri"/>
                          <w:b/>
                          <w:color w:val="FFFFFF" w:themeColor="background1"/>
                          <w:sz w:val="72"/>
                        </w:rPr>
                        <w:t xml:space="preserve">Pneumococcal Vaccine Program </w:t>
                      </w:r>
                    </w:p>
                    <w:p w14:paraId="460BB61B" w14:textId="0C988BEF" w:rsidR="00EB07DC" w:rsidRDefault="00985A8C" w:rsidP="00B24D8D">
                      <w:pPr>
                        <w:rPr>
                          <w:rFonts w:ascii="Calibri" w:hAnsi="Calibri"/>
                          <w:b/>
                          <w:color w:val="FFFFFF" w:themeColor="background1"/>
                          <w:sz w:val="72"/>
                        </w:rPr>
                      </w:pPr>
                      <w:r>
                        <w:rPr>
                          <w:rFonts w:ascii="Calibri" w:hAnsi="Calibri"/>
                          <w:b/>
                          <w:color w:val="FFFFFF" w:themeColor="background1"/>
                          <w:sz w:val="72"/>
                        </w:rPr>
                        <w:t>Policy</w:t>
                      </w:r>
                      <w:r w:rsidR="00555E03">
                        <w:rPr>
                          <w:rFonts w:ascii="Calibri" w:hAnsi="Calibri"/>
                          <w:b/>
                          <w:color w:val="FFFFFF" w:themeColor="background1"/>
                          <w:sz w:val="72"/>
                        </w:rPr>
                        <w:t xml:space="preserve"> and Procedure</w:t>
                      </w:r>
                    </w:p>
                  </w:txbxContent>
                </v:textbox>
                <w10:wrap anchorx="margin" anchory="page"/>
              </v:shape>
            </w:pict>
          </mc:Fallback>
        </mc:AlternateContent>
      </w:r>
    </w:p>
    <w:p w14:paraId="4E0B2564" w14:textId="60035A44" w:rsidR="00517CCA" w:rsidRPr="00517CCA" w:rsidRDefault="00484844" w:rsidP="00517CCA">
      <w:pPr>
        <w:pStyle w:val="Heading3"/>
        <w:tabs>
          <w:tab w:val="clear" w:pos="4680"/>
        </w:tabs>
        <w:suppressAutoHyphens w:val="0"/>
        <w:jc w:val="center"/>
        <w:rPr>
          <w:rFonts w:ascii="Calibri" w:hAnsi="Calibri" w:cs="Calibri"/>
        </w:rPr>
      </w:pPr>
      <w:r>
        <w:rPr>
          <w:rFonts w:ascii="Calibri" w:hAnsi="Calibri"/>
          <w:b w:val="0"/>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sz w:val="32"/>
        </w:rPr>
        <w:br w:type="page"/>
      </w:r>
    </w:p>
    <w:p w14:paraId="2F925774" w14:textId="77777777" w:rsidR="00985A8C" w:rsidRPr="00194755" w:rsidRDefault="00985A8C" w:rsidP="00985A8C">
      <w:pPr>
        <w:jc w:val="center"/>
        <w:rPr>
          <w:rFonts w:ascii="Calibri" w:hAnsi="Calibri" w:cs="Calibri"/>
          <w:b/>
          <w:bCs/>
          <w:sz w:val="32"/>
          <w:szCs w:val="32"/>
        </w:rPr>
      </w:pPr>
      <w:r w:rsidRPr="00194755">
        <w:rPr>
          <w:rFonts w:ascii="Calibri" w:hAnsi="Calibri" w:cs="Calibri"/>
          <w:b/>
          <w:bCs/>
          <w:sz w:val="32"/>
          <w:szCs w:val="32"/>
        </w:rPr>
        <w:lastRenderedPageBreak/>
        <w:t>Pneumococcal Vaccine Program</w:t>
      </w:r>
    </w:p>
    <w:p w14:paraId="3EA9B183" w14:textId="77777777" w:rsidR="00985A8C" w:rsidRPr="00985A8C" w:rsidRDefault="00985A8C" w:rsidP="00985A8C">
      <w:pPr>
        <w:pStyle w:val="Heading1"/>
        <w:rPr>
          <w:rFonts w:ascii="Calibri" w:hAnsi="Calibri" w:cs="Arial"/>
          <w:b/>
          <w:bCs/>
          <w:color w:val="auto"/>
          <w:sz w:val="24"/>
        </w:rPr>
      </w:pPr>
      <w:r w:rsidRPr="00985A8C">
        <w:rPr>
          <w:rFonts w:ascii="Calibri" w:hAnsi="Calibri" w:cs="Arial"/>
          <w:b/>
          <w:bCs/>
          <w:color w:val="auto"/>
          <w:sz w:val="24"/>
        </w:rPr>
        <w:t>Policy</w:t>
      </w:r>
      <w:r w:rsidRPr="00985A8C">
        <w:rPr>
          <w:rFonts w:ascii="Calibri" w:hAnsi="Calibri" w:cs="Arial"/>
          <w:b/>
          <w:bCs/>
          <w:color w:val="auto"/>
          <w:sz w:val="24"/>
        </w:rPr>
        <w:tab/>
      </w:r>
    </w:p>
    <w:p w14:paraId="0F0BC2E3" w14:textId="77777777" w:rsidR="00985A8C" w:rsidRPr="006D108F" w:rsidRDefault="00985A8C" w:rsidP="00985A8C">
      <w:pPr>
        <w:rPr>
          <w:rFonts w:ascii="Calibri" w:hAnsi="Calibri" w:cs="Calibri"/>
        </w:rPr>
      </w:pPr>
      <w:r w:rsidRPr="006D108F">
        <w:rPr>
          <w:rFonts w:ascii="Calibri" w:hAnsi="Calibri" w:cs="Calibri"/>
        </w:rPr>
        <w:t xml:space="preserve">It is the policy of this facility that </w:t>
      </w:r>
      <w:r>
        <w:rPr>
          <w:rFonts w:ascii="Calibri" w:hAnsi="Calibri" w:cs="Calibri"/>
        </w:rPr>
        <w:t xml:space="preserve">each </w:t>
      </w:r>
      <w:r w:rsidRPr="006D108F">
        <w:rPr>
          <w:rFonts w:ascii="Calibri" w:hAnsi="Calibri" w:cs="Calibri"/>
        </w:rPr>
        <w:t>resident will be offered immunization(s) against pneumococcal disease in accordance with</w:t>
      </w:r>
      <w:r>
        <w:rPr>
          <w:rFonts w:ascii="Calibri" w:hAnsi="Calibri" w:cs="Calibri"/>
        </w:rPr>
        <w:t xml:space="preserve"> current standards of practice and the</w:t>
      </w:r>
      <w:r w:rsidRPr="006D108F">
        <w:rPr>
          <w:rFonts w:ascii="Calibri" w:hAnsi="Calibri" w:cs="Calibri"/>
        </w:rPr>
        <w:t xml:space="preserve"> Advisory Committee on Immunization Practices (ACIP) recommendations</w:t>
      </w:r>
      <w:r>
        <w:rPr>
          <w:rFonts w:ascii="Calibri" w:hAnsi="Calibri" w:cs="Calibri"/>
        </w:rPr>
        <w:t>, unless contraindicated or already immunized</w:t>
      </w:r>
      <w:r w:rsidRPr="006D108F">
        <w:rPr>
          <w:rFonts w:ascii="Calibri" w:hAnsi="Calibri" w:cs="Calibri"/>
        </w:rPr>
        <w:t xml:space="preserve">. Pneumococcal disease is a serious illness that can cause sickness and even death. </w:t>
      </w:r>
    </w:p>
    <w:p w14:paraId="28C58555" w14:textId="77777777" w:rsidR="00985A8C" w:rsidRPr="00985A8C" w:rsidRDefault="00985A8C" w:rsidP="00985A8C">
      <w:pPr>
        <w:pStyle w:val="Heading1"/>
        <w:rPr>
          <w:rFonts w:ascii="Calibri" w:hAnsi="Calibri" w:cs="Arial"/>
          <w:b/>
          <w:bCs/>
          <w:color w:val="auto"/>
          <w:sz w:val="24"/>
        </w:rPr>
      </w:pPr>
      <w:r w:rsidRPr="00985A8C">
        <w:rPr>
          <w:rFonts w:ascii="Calibri" w:hAnsi="Calibri" w:cs="Arial"/>
          <w:b/>
          <w:bCs/>
          <w:color w:val="auto"/>
          <w:sz w:val="24"/>
        </w:rPr>
        <w:t>Purpose</w:t>
      </w:r>
    </w:p>
    <w:p w14:paraId="3C98E6BF" w14:textId="77777777" w:rsidR="00985A8C" w:rsidRDefault="00985A8C" w:rsidP="00985A8C">
      <w:pPr>
        <w:rPr>
          <w:rFonts w:ascii="Calibri" w:hAnsi="Calibri" w:cs="Calibri"/>
          <w:szCs w:val="22"/>
          <w:vertAlign w:val="superscript"/>
        </w:rPr>
      </w:pPr>
      <w:r>
        <w:rPr>
          <w:rFonts w:ascii="Calibri" w:hAnsi="Calibri" w:cs="Calibri"/>
          <w:szCs w:val="22"/>
        </w:rPr>
        <w:t>To reduce the incidence of pneumococcal disease and the morbidity and mortality attributed to this infection.  The Centers for Medicare &amp; Medicaid Services indicates, “pneumococcal disease carries serious morbidity and mortality due to its major clinical syndromes of pneumonia, bacteremia, and meningitis. People 65 years or older are two to three times more likely than the younger population to get pneumococcal infections.”</w:t>
      </w:r>
      <w:r>
        <w:rPr>
          <w:rFonts w:ascii="Calibri" w:hAnsi="Calibri" w:cs="Calibri"/>
          <w:szCs w:val="22"/>
          <w:vertAlign w:val="superscript"/>
        </w:rPr>
        <w:t>1</w:t>
      </w:r>
    </w:p>
    <w:p w14:paraId="50D8F132" w14:textId="77777777" w:rsidR="00985A8C" w:rsidRDefault="00985A8C" w:rsidP="00985A8C">
      <w:pPr>
        <w:rPr>
          <w:rFonts w:ascii="Calibri" w:hAnsi="Calibri" w:cs="Arial"/>
        </w:rPr>
      </w:pPr>
    </w:p>
    <w:p w14:paraId="2DA9F3C4" w14:textId="77777777" w:rsidR="00985A8C" w:rsidRPr="001270E8" w:rsidRDefault="00985A8C" w:rsidP="00985A8C">
      <w:pPr>
        <w:pStyle w:val="BodyText"/>
        <w:rPr>
          <w:rFonts w:ascii="Calibri" w:hAnsi="Calibri" w:cs="Arial"/>
          <w:b/>
          <w:szCs w:val="24"/>
        </w:rPr>
      </w:pPr>
      <w:r w:rsidRPr="001270E8">
        <w:rPr>
          <w:rFonts w:ascii="Calibri" w:hAnsi="Calibri" w:cs="Arial"/>
          <w:b/>
          <w:szCs w:val="24"/>
        </w:rPr>
        <w:t>Definitions</w:t>
      </w:r>
      <w:r>
        <w:rPr>
          <w:rFonts w:ascii="Calibri" w:hAnsi="Calibri" w:cs="Arial"/>
          <w:b/>
          <w:szCs w:val="24"/>
        </w:rPr>
        <w:t xml:space="preserve"> – Centers for Medicare and Medicaid Services</w:t>
      </w:r>
      <w:r>
        <w:rPr>
          <w:rFonts w:ascii="Calibri" w:hAnsi="Calibri" w:cs="Arial"/>
          <w:b/>
          <w:szCs w:val="24"/>
          <w:vertAlign w:val="superscript"/>
        </w:rPr>
        <w:t>1</w:t>
      </w:r>
      <w:r w:rsidRPr="001270E8">
        <w:rPr>
          <w:rFonts w:ascii="Calibri" w:hAnsi="Calibri" w:cs="Arial"/>
          <w:b/>
          <w:szCs w:val="24"/>
        </w:rPr>
        <w:t>:</w:t>
      </w:r>
    </w:p>
    <w:p w14:paraId="6BF96F8E" w14:textId="77777777" w:rsidR="00985A8C" w:rsidRPr="001270E8" w:rsidRDefault="00985A8C" w:rsidP="00985A8C">
      <w:pPr>
        <w:pStyle w:val="BodyText"/>
        <w:rPr>
          <w:rFonts w:ascii="Calibri" w:hAnsi="Calibri" w:cs="Arial"/>
          <w:b/>
          <w:szCs w:val="24"/>
        </w:rPr>
      </w:pPr>
    </w:p>
    <w:p w14:paraId="5B39941E" w14:textId="77777777" w:rsidR="00985A8C" w:rsidRPr="001270E8" w:rsidRDefault="00985A8C" w:rsidP="00985A8C">
      <w:pPr>
        <w:pStyle w:val="BodyText"/>
        <w:rPr>
          <w:rFonts w:ascii="Calibri" w:hAnsi="Calibri"/>
          <w:szCs w:val="24"/>
        </w:rPr>
      </w:pPr>
      <w:r w:rsidRPr="001270E8">
        <w:rPr>
          <w:rFonts w:ascii="Calibri" w:hAnsi="Calibri"/>
          <w:szCs w:val="24"/>
        </w:rPr>
        <w:t>“</w:t>
      </w:r>
      <w:r w:rsidRPr="001270E8">
        <w:rPr>
          <w:rFonts w:ascii="Calibri" w:hAnsi="Calibri"/>
          <w:b/>
          <w:szCs w:val="24"/>
        </w:rPr>
        <w:t>The Advisory Committee on Immunization Practices (ACIP)”:</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 xml:space="preserve">a group of medical and public health experts that develops recommendations on how to use vaccines to control diseases in the United States. ACIP’s recommendations stand as public health advice that will lead to a reduction in the incidence of vaccine preventable diseases and an increase in the safe use of vaccines and related biological products. See </w:t>
      </w:r>
      <w:hyperlink r:id="rId8" w:history="1">
        <w:r w:rsidRPr="001270E8">
          <w:rPr>
            <w:rStyle w:val="Hyperlink"/>
            <w:rFonts w:ascii="Calibri" w:hAnsi="Calibri"/>
            <w:szCs w:val="24"/>
          </w:rPr>
          <w:t>http://www.cdc.gov/vaccines/acip/index.html</w:t>
        </w:r>
      </w:hyperlink>
      <w:r w:rsidRPr="001270E8">
        <w:rPr>
          <w:rFonts w:ascii="Calibri" w:hAnsi="Calibri"/>
          <w:szCs w:val="24"/>
        </w:rPr>
        <w:t xml:space="preserve"> for further information.</w:t>
      </w:r>
      <w:r>
        <w:rPr>
          <w:rFonts w:ascii="Calibri" w:hAnsi="Calibri"/>
          <w:szCs w:val="24"/>
        </w:rPr>
        <w:t>”</w:t>
      </w:r>
      <w:r w:rsidRPr="001270E8">
        <w:rPr>
          <w:rFonts w:ascii="Calibri" w:hAnsi="Calibri"/>
          <w:szCs w:val="24"/>
        </w:rPr>
        <w:t xml:space="preserve"> </w:t>
      </w:r>
    </w:p>
    <w:p w14:paraId="4AF434B7" w14:textId="77777777" w:rsidR="00985A8C" w:rsidRPr="001270E8" w:rsidRDefault="00985A8C" w:rsidP="00985A8C">
      <w:pPr>
        <w:pStyle w:val="BodyText"/>
        <w:rPr>
          <w:rFonts w:ascii="Calibri" w:hAnsi="Calibri"/>
          <w:szCs w:val="24"/>
        </w:rPr>
      </w:pPr>
    </w:p>
    <w:p w14:paraId="159726F3" w14:textId="77777777" w:rsidR="00985A8C" w:rsidRDefault="00985A8C" w:rsidP="00985A8C">
      <w:pPr>
        <w:pStyle w:val="BodyText"/>
        <w:rPr>
          <w:rFonts w:ascii="Calibri" w:hAnsi="Calibri"/>
          <w:szCs w:val="24"/>
        </w:rPr>
      </w:pPr>
      <w:r w:rsidRPr="001270E8">
        <w:rPr>
          <w:rFonts w:ascii="Calibri" w:hAnsi="Calibri"/>
          <w:b/>
          <w:szCs w:val="24"/>
        </w:rPr>
        <w:t>“Medical contraindication”:</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a condition or risk that precludes the administration of a treatment or intervention because of the substantial probability that harm to the individual may occur.</w:t>
      </w:r>
      <w:r>
        <w:rPr>
          <w:rFonts w:ascii="Calibri" w:hAnsi="Calibri"/>
          <w:szCs w:val="24"/>
        </w:rPr>
        <w:t>”</w:t>
      </w:r>
      <w:r w:rsidRPr="001270E8">
        <w:rPr>
          <w:rFonts w:ascii="Calibri" w:hAnsi="Calibri"/>
          <w:szCs w:val="24"/>
        </w:rPr>
        <w:t xml:space="preserve"> </w:t>
      </w:r>
    </w:p>
    <w:p w14:paraId="62BE0347" w14:textId="77777777" w:rsidR="00985A8C" w:rsidRPr="001270E8" w:rsidRDefault="00985A8C" w:rsidP="00985A8C">
      <w:pPr>
        <w:pStyle w:val="BodyText"/>
        <w:rPr>
          <w:rFonts w:ascii="Calibri" w:hAnsi="Calibri"/>
          <w:szCs w:val="24"/>
        </w:rPr>
      </w:pPr>
    </w:p>
    <w:p w14:paraId="2E90B42E" w14:textId="77777777" w:rsidR="00985A8C" w:rsidRPr="001270E8" w:rsidRDefault="00985A8C" w:rsidP="00985A8C">
      <w:pPr>
        <w:pStyle w:val="BodyText"/>
        <w:rPr>
          <w:rFonts w:ascii="Calibri" w:hAnsi="Calibri" w:cs="Arial"/>
          <w:bCs/>
          <w:szCs w:val="24"/>
        </w:rPr>
      </w:pPr>
      <w:r w:rsidRPr="001270E8">
        <w:rPr>
          <w:rFonts w:ascii="Calibri" w:hAnsi="Calibri"/>
          <w:b/>
          <w:szCs w:val="24"/>
        </w:rPr>
        <w:t>“Precaution”:</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 xml:space="preserve">a condition in a potential recipient that might increase the risk for a serious adverse reaction or that might compromise the vaccine’s induction of immunity. For example, </w:t>
      </w:r>
      <w:proofErr w:type="gramStart"/>
      <w:r w:rsidRPr="001270E8">
        <w:rPr>
          <w:rFonts w:ascii="Calibri" w:hAnsi="Calibri"/>
          <w:szCs w:val="24"/>
        </w:rPr>
        <w:t>as a result of</w:t>
      </w:r>
      <w:proofErr w:type="gramEnd"/>
      <w:r w:rsidRPr="001270E8">
        <w:rPr>
          <w:rFonts w:ascii="Calibri" w:hAnsi="Calibri"/>
          <w:szCs w:val="24"/>
        </w:rPr>
        <w:t xml:space="preserve"> the resident’s condition, complications could result, or a person might experience a more severe reaction to the vaccine than would have otherwise been expected. However, the risk for this happening is less than expected with medical contraindications.</w:t>
      </w:r>
      <w:r>
        <w:rPr>
          <w:rFonts w:ascii="Calibri" w:hAnsi="Calibri"/>
          <w:szCs w:val="24"/>
        </w:rPr>
        <w:t>”</w:t>
      </w:r>
    </w:p>
    <w:p w14:paraId="005D0615" w14:textId="77777777" w:rsidR="00985A8C" w:rsidRDefault="00985A8C" w:rsidP="00985A8C">
      <w:pPr>
        <w:rPr>
          <w:rFonts w:ascii="Calibri" w:hAnsi="Calibri" w:cs="Arial"/>
          <w:b/>
          <w:bCs/>
        </w:rPr>
      </w:pPr>
    </w:p>
    <w:p w14:paraId="0BBEFE0B" w14:textId="77777777" w:rsidR="00985A8C" w:rsidRDefault="00985A8C" w:rsidP="00985A8C">
      <w:pPr>
        <w:rPr>
          <w:rFonts w:ascii="Calibri" w:hAnsi="Calibri" w:cs="Arial"/>
        </w:rPr>
      </w:pPr>
      <w:r>
        <w:rPr>
          <w:rFonts w:ascii="Calibri" w:hAnsi="Calibri" w:cs="Arial"/>
          <w:b/>
          <w:bCs/>
        </w:rPr>
        <w:t>Pneumococcal Vaccines:</w:t>
      </w:r>
    </w:p>
    <w:p w14:paraId="39249822" w14:textId="77777777" w:rsidR="00985A8C" w:rsidRDefault="00985A8C" w:rsidP="00985A8C">
      <w:pPr>
        <w:numPr>
          <w:ilvl w:val="0"/>
          <w:numId w:val="44"/>
        </w:numPr>
        <w:rPr>
          <w:rFonts w:ascii="Calibri" w:hAnsi="Calibri" w:cs="Arial"/>
        </w:rPr>
      </w:pPr>
      <w:r>
        <w:rPr>
          <w:rFonts w:ascii="Calibri" w:hAnsi="Calibri" w:cs="Arial"/>
        </w:rPr>
        <w:t>20-Valent Pneumococcal Conjugate Vaccine (PCV20)</w:t>
      </w:r>
    </w:p>
    <w:p w14:paraId="4BED11AE" w14:textId="77777777" w:rsidR="00985A8C" w:rsidRDefault="00985A8C" w:rsidP="00985A8C">
      <w:pPr>
        <w:numPr>
          <w:ilvl w:val="0"/>
          <w:numId w:val="44"/>
        </w:numPr>
        <w:rPr>
          <w:rFonts w:ascii="Calibri" w:hAnsi="Calibri" w:cs="Arial"/>
        </w:rPr>
      </w:pPr>
      <w:r>
        <w:rPr>
          <w:rFonts w:ascii="Calibri" w:hAnsi="Calibri" w:cs="Arial"/>
        </w:rPr>
        <w:t>15-Valent Pneumococcal Conjugate Vaccine (PCV-15)</w:t>
      </w:r>
    </w:p>
    <w:p w14:paraId="60CC19C0" w14:textId="77777777" w:rsidR="00985A8C" w:rsidRPr="00885A55" w:rsidRDefault="00985A8C" w:rsidP="00985A8C">
      <w:pPr>
        <w:numPr>
          <w:ilvl w:val="0"/>
          <w:numId w:val="44"/>
        </w:numPr>
        <w:rPr>
          <w:rFonts w:ascii="Calibri" w:hAnsi="Calibri" w:cs="Arial"/>
        </w:rPr>
      </w:pPr>
      <w:r>
        <w:rPr>
          <w:rFonts w:ascii="Calibri" w:hAnsi="Calibri" w:cs="Arial"/>
        </w:rPr>
        <w:t>Pneumococcal Polysaccharide Vaccine (PPSV23)</w:t>
      </w:r>
    </w:p>
    <w:p w14:paraId="1104B6EA" w14:textId="77777777" w:rsidR="00985A8C" w:rsidRDefault="00985A8C" w:rsidP="00985A8C">
      <w:pPr>
        <w:rPr>
          <w:rFonts w:ascii="Calibri" w:hAnsi="Calibri" w:cs="Arial"/>
          <w:b/>
          <w:bCs/>
        </w:rPr>
      </w:pPr>
      <w:r>
        <w:rPr>
          <w:rFonts w:ascii="Calibri" w:hAnsi="Calibri" w:cs="Arial"/>
          <w:b/>
          <w:bCs/>
        </w:rPr>
        <w:br w:type="page"/>
      </w:r>
    </w:p>
    <w:p w14:paraId="7CE9F284" w14:textId="77777777" w:rsidR="00985A8C" w:rsidRDefault="00985A8C" w:rsidP="00985A8C">
      <w:pPr>
        <w:rPr>
          <w:rFonts w:ascii="Calibri" w:hAnsi="Calibri" w:cs="Arial"/>
          <w:b/>
          <w:bCs/>
        </w:rPr>
      </w:pPr>
      <w:r>
        <w:rPr>
          <w:rFonts w:ascii="Calibri" w:hAnsi="Calibri" w:cs="Arial"/>
          <w:b/>
          <w:bCs/>
        </w:rPr>
        <w:lastRenderedPageBreak/>
        <w:t>Current ACIP Recommendations</w:t>
      </w:r>
      <w:r>
        <w:rPr>
          <w:rFonts w:ascii="Calibri" w:hAnsi="Calibri" w:cs="Arial"/>
          <w:b/>
          <w:bCs/>
          <w:vertAlign w:val="superscript"/>
        </w:rPr>
        <w:t>2</w:t>
      </w:r>
      <w:r>
        <w:rPr>
          <w:rFonts w:ascii="Calibri" w:hAnsi="Calibri" w:cs="Arial"/>
          <w:b/>
          <w:bCs/>
        </w:rPr>
        <w:t>:</w:t>
      </w:r>
    </w:p>
    <w:p w14:paraId="3609A50B" w14:textId="77777777" w:rsidR="00985A8C" w:rsidRPr="00B935A7" w:rsidRDefault="00985A8C" w:rsidP="00985A8C">
      <w:pPr>
        <w:numPr>
          <w:ilvl w:val="0"/>
          <w:numId w:val="45"/>
        </w:numPr>
        <w:rPr>
          <w:rFonts w:ascii="Calibri" w:hAnsi="Calibri" w:cs="Arial"/>
        </w:rPr>
      </w:pPr>
      <w:r>
        <w:rPr>
          <w:rFonts w:ascii="Calibri" w:hAnsi="Calibri" w:cs="Arial"/>
        </w:rPr>
        <w:t>“</w:t>
      </w:r>
      <w:r w:rsidRPr="00885A55">
        <w:rPr>
          <w:rFonts w:ascii="Calibri" w:hAnsi="Calibri" w:cs="Arial"/>
        </w:rPr>
        <w:t xml:space="preserve">For Residents </w:t>
      </w:r>
      <w:r>
        <w:rPr>
          <w:rFonts w:ascii="Calibri" w:hAnsi="Calibri" w:cs="Arial"/>
        </w:rPr>
        <w:t xml:space="preserve">65 years </w:t>
      </w:r>
      <w:r>
        <w:rPr>
          <w:rFonts w:ascii="Calibri" w:hAnsi="Calibri" w:cs="Calibri"/>
        </w:rPr>
        <w:t xml:space="preserve">of age or older:  </w:t>
      </w:r>
      <w:r>
        <w:rPr>
          <w:rFonts w:ascii="Calibri" w:hAnsi="Calibri" w:cs="Calibri"/>
          <w:color w:val="212529"/>
          <w:shd w:val="clear" w:color="auto" w:fill="FFFFFF"/>
        </w:rPr>
        <w:t>1 dose of PCV20 or 1 dose of PCV15 followed by a dose of PPSV23 ≥1 years later”</w:t>
      </w:r>
      <w:r>
        <w:rPr>
          <w:rFonts w:ascii="Calibri" w:hAnsi="Calibri" w:cs="Calibri"/>
          <w:color w:val="212529"/>
          <w:shd w:val="clear" w:color="auto" w:fill="FFFFFF"/>
          <w:vertAlign w:val="superscript"/>
        </w:rPr>
        <w:t>2</w:t>
      </w:r>
    </w:p>
    <w:p w14:paraId="2B0D70D6" w14:textId="77777777" w:rsidR="00985A8C" w:rsidRDefault="00985A8C" w:rsidP="00985A8C">
      <w:pPr>
        <w:numPr>
          <w:ilvl w:val="1"/>
          <w:numId w:val="45"/>
        </w:numPr>
        <w:rPr>
          <w:rFonts w:ascii="Calibri" w:hAnsi="Calibri" w:cs="Calibri"/>
        </w:rPr>
      </w:pPr>
      <w:r>
        <w:rPr>
          <w:rFonts w:ascii="Calibri" w:hAnsi="Calibri" w:cs="Calibri"/>
          <w:color w:val="000000"/>
          <w:shd w:val="clear" w:color="auto" w:fill="FFFFFF"/>
        </w:rPr>
        <w:t>“Adults with immunocompromising conditions, cochlear implant, or CSF leak might benefit from shorter intervals such as ≥8 weeks. These vaccine doses do not need to be repeated if given before age 65 years.”</w:t>
      </w:r>
      <w:r>
        <w:rPr>
          <w:rFonts w:ascii="Calibri" w:hAnsi="Calibri" w:cs="Calibri"/>
          <w:color w:val="000000"/>
          <w:shd w:val="clear" w:color="auto" w:fill="FFFFFF"/>
          <w:vertAlign w:val="superscript"/>
        </w:rPr>
        <w:t>2</w:t>
      </w:r>
    </w:p>
    <w:p w14:paraId="3DAE936A" w14:textId="77777777" w:rsidR="00985A8C" w:rsidRDefault="00985A8C" w:rsidP="00985A8C">
      <w:pPr>
        <w:numPr>
          <w:ilvl w:val="0"/>
          <w:numId w:val="45"/>
        </w:numPr>
        <w:rPr>
          <w:rFonts w:ascii="Calibri" w:hAnsi="Calibri" w:cs="Calibri"/>
        </w:rPr>
      </w:pPr>
      <w:r>
        <w:rPr>
          <w:rFonts w:ascii="Calibri" w:hAnsi="Calibri" w:cs="Calibri"/>
          <w:color w:val="000000"/>
          <w:shd w:val="clear" w:color="auto" w:fill="FFFFFF"/>
        </w:rPr>
        <w:t>For residents with underlying medical conditions or other risk factors between the ages of 19-64</w:t>
      </w:r>
      <w:proofErr w:type="gramStart"/>
      <w:r>
        <w:rPr>
          <w:rFonts w:ascii="Calibri" w:hAnsi="Calibri" w:cs="Calibri"/>
          <w:color w:val="000000"/>
          <w:shd w:val="clear" w:color="auto" w:fill="FFFFFF"/>
        </w:rPr>
        <w:t>:  “</w:t>
      </w:r>
      <w:proofErr w:type="gramEnd"/>
      <w:r>
        <w:rPr>
          <w:rFonts w:ascii="Calibri" w:hAnsi="Calibri" w:cs="Calibri"/>
          <w:color w:val="212529"/>
          <w:shd w:val="clear" w:color="auto" w:fill="FFFFFF"/>
        </w:rPr>
        <w:t>1 dose of PCV20 or 1 dose of PCV15 followed by a dose of PPSV23 ≥1 years later”</w:t>
      </w:r>
      <w:r>
        <w:rPr>
          <w:rFonts w:ascii="Calibri" w:hAnsi="Calibri" w:cs="Calibri"/>
          <w:color w:val="212529"/>
          <w:shd w:val="clear" w:color="auto" w:fill="FFFFFF"/>
          <w:vertAlign w:val="superscript"/>
        </w:rPr>
        <w:t>2</w:t>
      </w:r>
    </w:p>
    <w:p w14:paraId="6D5A22E5" w14:textId="77777777" w:rsidR="00985A8C" w:rsidRDefault="00985A8C" w:rsidP="00985A8C">
      <w:pPr>
        <w:numPr>
          <w:ilvl w:val="1"/>
          <w:numId w:val="45"/>
        </w:numPr>
        <w:rPr>
          <w:rFonts w:ascii="Calibri" w:hAnsi="Calibri" w:cs="Calibri"/>
        </w:rPr>
      </w:pPr>
      <w:r>
        <w:rPr>
          <w:rFonts w:ascii="Calibri" w:hAnsi="Calibri" w:cs="Calibri"/>
          <w:color w:val="212529"/>
          <w:shd w:val="clear" w:color="auto" w:fill="FFFFFF"/>
        </w:rPr>
        <w:t>“</w:t>
      </w:r>
      <w:r>
        <w:rPr>
          <w:rFonts w:ascii="Calibri" w:hAnsi="Calibri" w:cs="Calibri"/>
          <w:color w:val="000000"/>
          <w:shd w:val="clear" w:color="auto" w:fill="FFFFFF"/>
        </w:rPr>
        <w:t>Adults with immunocompromising conditions, cochlear implant, or CSF leak might benefit from shorter intervals such as ≥8 weeks.”</w:t>
      </w:r>
      <w:r>
        <w:rPr>
          <w:rFonts w:ascii="Calibri" w:hAnsi="Calibri" w:cs="Calibri"/>
          <w:color w:val="000000"/>
          <w:shd w:val="clear" w:color="auto" w:fill="FFFFFF"/>
          <w:vertAlign w:val="superscript"/>
        </w:rPr>
        <w:t>2</w:t>
      </w:r>
    </w:p>
    <w:p w14:paraId="35F99FC8" w14:textId="77777777" w:rsidR="00985A8C" w:rsidRDefault="00985A8C" w:rsidP="00985A8C">
      <w:pPr>
        <w:numPr>
          <w:ilvl w:val="0"/>
          <w:numId w:val="45"/>
        </w:numPr>
        <w:rPr>
          <w:rFonts w:ascii="Calibri" w:hAnsi="Calibri" w:cs="Calibri"/>
        </w:rPr>
      </w:pPr>
      <w:r>
        <w:rPr>
          <w:rFonts w:ascii="Calibri" w:hAnsi="Calibri" w:cs="Calibri"/>
          <w:color w:val="212529"/>
          <w:shd w:val="clear" w:color="auto" w:fill="FFFFFF"/>
        </w:rPr>
        <w:t xml:space="preserve">For additional details, please see:  Centers for Disease Control and Prevention, Vaccine Recommendations an d Guidelines of the ACIP, “Pneumococcal ACIP Vaccine Recommendations”, January 28, 2022:  </w:t>
      </w:r>
      <w:hyperlink r:id="rId9" w:history="1">
        <w:r w:rsidRPr="00520EF7">
          <w:rPr>
            <w:rStyle w:val="Hyperlink"/>
            <w:rFonts w:ascii="Calibri" w:hAnsi="Calibri" w:cs="Calibri"/>
            <w:shd w:val="clear" w:color="auto" w:fill="FFFFFF"/>
          </w:rPr>
          <w:t>https://www.cdc.gov/vaccines/hcp/acip-recs/vacc-specific/pneumo.html</w:t>
        </w:r>
      </w:hyperlink>
      <w:r>
        <w:rPr>
          <w:rFonts w:ascii="Calibri" w:hAnsi="Calibri" w:cs="Calibri"/>
          <w:color w:val="212529"/>
          <w:shd w:val="clear" w:color="auto" w:fill="FFFFFF"/>
        </w:rPr>
        <w:t xml:space="preserve"> </w:t>
      </w:r>
    </w:p>
    <w:p w14:paraId="44738769" w14:textId="77777777" w:rsidR="00985A8C" w:rsidRDefault="00985A8C" w:rsidP="00985A8C">
      <w:pPr>
        <w:rPr>
          <w:rFonts w:ascii="Calibri" w:hAnsi="Calibri" w:cs="Arial"/>
          <w:b/>
          <w:bCs/>
        </w:rPr>
      </w:pPr>
    </w:p>
    <w:p w14:paraId="1F1E9320" w14:textId="77777777" w:rsidR="00985A8C" w:rsidRDefault="00985A8C" w:rsidP="00985A8C">
      <w:pPr>
        <w:rPr>
          <w:rFonts w:ascii="Calibri" w:hAnsi="Calibri" w:cs="Arial"/>
          <w:b/>
          <w:bCs/>
        </w:rPr>
      </w:pPr>
      <w:r>
        <w:rPr>
          <w:rFonts w:ascii="Calibri" w:hAnsi="Calibri" w:cs="Arial"/>
          <w:b/>
          <w:bCs/>
        </w:rPr>
        <w:t>Procedure</w:t>
      </w:r>
    </w:p>
    <w:p w14:paraId="72FEED24" w14:textId="77777777" w:rsidR="00985A8C" w:rsidRDefault="00985A8C" w:rsidP="00985A8C">
      <w:pPr>
        <w:numPr>
          <w:ilvl w:val="0"/>
          <w:numId w:val="43"/>
        </w:numPr>
        <w:rPr>
          <w:rFonts w:ascii="Calibri" w:hAnsi="Calibri" w:cs="Arial"/>
        </w:rPr>
      </w:pPr>
      <w:r>
        <w:rPr>
          <w:rFonts w:ascii="Calibri" w:hAnsi="Calibri" w:cs="Arial"/>
        </w:rPr>
        <w:t>The facility’s Medical Director will annually review and approve the pneumococcal vaccine policy and procedure.</w:t>
      </w:r>
    </w:p>
    <w:p w14:paraId="38DC78F6" w14:textId="77777777" w:rsidR="00985A8C" w:rsidRDefault="00985A8C" w:rsidP="00985A8C">
      <w:pPr>
        <w:numPr>
          <w:ilvl w:val="0"/>
          <w:numId w:val="43"/>
        </w:numPr>
        <w:rPr>
          <w:rFonts w:ascii="Calibri" w:hAnsi="Calibri" w:cs="Arial"/>
        </w:rPr>
      </w:pPr>
      <w:r>
        <w:rPr>
          <w:rFonts w:ascii="Calibri" w:hAnsi="Calibri" w:cs="Arial"/>
        </w:rPr>
        <w:t>Upon admission, the resident’s record will be reviewed, and the facility will identify resident’s pneumococcal vaccination status</w:t>
      </w:r>
    </w:p>
    <w:p w14:paraId="7D194B02" w14:textId="77777777" w:rsidR="00985A8C" w:rsidRDefault="00985A8C" w:rsidP="00985A8C">
      <w:pPr>
        <w:numPr>
          <w:ilvl w:val="1"/>
          <w:numId w:val="43"/>
        </w:numPr>
        <w:rPr>
          <w:rFonts w:ascii="Calibri" w:hAnsi="Calibri" w:cs="Arial"/>
        </w:rPr>
      </w:pPr>
      <w:r>
        <w:rPr>
          <w:rFonts w:ascii="Calibri" w:hAnsi="Calibri" w:cs="Arial"/>
        </w:rPr>
        <w:t>Vaccine(s) received and date if known</w:t>
      </w:r>
    </w:p>
    <w:p w14:paraId="4E5F7D2B" w14:textId="77777777" w:rsidR="00985A8C" w:rsidRDefault="00985A8C" w:rsidP="00985A8C">
      <w:pPr>
        <w:numPr>
          <w:ilvl w:val="0"/>
          <w:numId w:val="43"/>
        </w:numPr>
        <w:rPr>
          <w:rFonts w:ascii="Calibri" w:hAnsi="Calibri" w:cs="Arial"/>
        </w:rPr>
      </w:pPr>
      <w:r>
        <w:rPr>
          <w:rFonts w:ascii="Calibri" w:hAnsi="Calibri" w:cs="Arial"/>
        </w:rPr>
        <w:t>An assessment will be conducted to identify potential medical contraindications</w:t>
      </w:r>
    </w:p>
    <w:p w14:paraId="4051B4C3" w14:textId="77777777" w:rsidR="00985A8C" w:rsidRDefault="00985A8C" w:rsidP="00985A8C">
      <w:pPr>
        <w:numPr>
          <w:ilvl w:val="1"/>
          <w:numId w:val="43"/>
        </w:numPr>
        <w:rPr>
          <w:rFonts w:ascii="Calibri" w:hAnsi="Calibri" w:cs="Arial"/>
        </w:rPr>
      </w:pPr>
      <w:proofErr w:type="gramStart"/>
      <w:r>
        <w:rPr>
          <w:rFonts w:ascii="Calibri" w:hAnsi="Calibri" w:cs="Arial"/>
        </w:rPr>
        <w:t>In the event that</w:t>
      </w:r>
      <w:proofErr w:type="gramEnd"/>
      <w:r>
        <w:rPr>
          <w:rFonts w:ascii="Calibri" w:hAnsi="Calibri" w:cs="Arial"/>
        </w:rPr>
        <w:t xml:space="preserve"> a precaution exists, the physician will review the benefits and risks of receiving the vaccine and this will be discussed with the resident or resident representative</w:t>
      </w:r>
    </w:p>
    <w:p w14:paraId="19906406" w14:textId="77777777" w:rsidR="00985A8C" w:rsidRDefault="00985A8C" w:rsidP="00985A8C">
      <w:pPr>
        <w:numPr>
          <w:ilvl w:val="1"/>
          <w:numId w:val="43"/>
        </w:numPr>
        <w:rPr>
          <w:rFonts w:ascii="Calibri" w:hAnsi="Calibri" w:cs="Arial"/>
        </w:rPr>
      </w:pPr>
      <w:r>
        <w:rPr>
          <w:rFonts w:ascii="Calibri" w:hAnsi="Calibri" w:cs="Arial"/>
        </w:rPr>
        <w:t>If a decision is made to delay vaccination due a precaution, document in resident record</w:t>
      </w:r>
    </w:p>
    <w:p w14:paraId="535A0316" w14:textId="77777777" w:rsidR="00985A8C" w:rsidRDefault="00985A8C" w:rsidP="00985A8C">
      <w:pPr>
        <w:numPr>
          <w:ilvl w:val="0"/>
          <w:numId w:val="43"/>
        </w:numPr>
        <w:rPr>
          <w:rFonts w:ascii="Calibri" w:hAnsi="Calibri" w:cs="Arial"/>
        </w:rPr>
      </w:pPr>
      <w:r>
        <w:rPr>
          <w:rFonts w:ascii="Calibri" w:hAnsi="Calibri" w:cs="Arial"/>
        </w:rPr>
        <w:t>Residents in the end stages of a terminal illness on comfort or palliative care may refuse the vaccine</w:t>
      </w:r>
    </w:p>
    <w:p w14:paraId="3F3532B7" w14:textId="77777777" w:rsidR="00985A8C" w:rsidRDefault="00985A8C" w:rsidP="00985A8C">
      <w:pPr>
        <w:numPr>
          <w:ilvl w:val="1"/>
          <w:numId w:val="43"/>
        </w:numPr>
        <w:rPr>
          <w:rFonts w:ascii="Calibri" w:hAnsi="Calibri" w:cs="Arial"/>
        </w:rPr>
      </w:pPr>
      <w:r>
        <w:rPr>
          <w:rFonts w:ascii="Calibri" w:hAnsi="Calibri" w:cs="Arial"/>
        </w:rPr>
        <w:t>Resident representative may refuse</w:t>
      </w:r>
    </w:p>
    <w:p w14:paraId="76E77A82" w14:textId="77777777" w:rsidR="00985A8C" w:rsidRDefault="00985A8C" w:rsidP="00985A8C">
      <w:pPr>
        <w:numPr>
          <w:ilvl w:val="0"/>
          <w:numId w:val="43"/>
        </w:numPr>
        <w:rPr>
          <w:rFonts w:ascii="Calibri" w:hAnsi="Calibri" w:cs="Arial"/>
        </w:rPr>
      </w:pPr>
      <w:r>
        <w:rPr>
          <w:rFonts w:ascii="Calibri" w:hAnsi="Calibri" w:cs="Arial"/>
        </w:rPr>
        <w:t>A physician’s order for the pneumococcal vaccination must be obtained:</w:t>
      </w:r>
    </w:p>
    <w:p w14:paraId="2953B9E0" w14:textId="77777777" w:rsidR="00985A8C" w:rsidRDefault="00985A8C" w:rsidP="00985A8C">
      <w:pPr>
        <w:numPr>
          <w:ilvl w:val="1"/>
          <w:numId w:val="43"/>
        </w:numPr>
        <w:rPr>
          <w:rFonts w:ascii="Calibri" w:hAnsi="Calibri" w:cs="Arial"/>
        </w:rPr>
      </w:pPr>
      <w:r>
        <w:rPr>
          <w:rFonts w:ascii="Calibri" w:hAnsi="Calibri" w:cs="Arial"/>
        </w:rPr>
        <w:t>(PCV20)</w:t>
      </w:r>
    </w:p>
    <w:p w14:paraId="0C0E888A" w14:textId="77777777" w:rsidR="00985A8C" w:rsidRDefault="00985A8C" w:rsidP="00985A8C">
      <w:pPr>
        <w:numPr>
          <w:ilvl w:val="1"/>
          <w:numId w:val="43"/>
        </w:numPr>
        <w:rPr>
          <w:rFonts w:ascii="Calibri" w:hAnsi="Calibri" w:cs="Arial"/>
        </w:rPr>
      </w:pPr>
      <w:r>
        <w:rPr>
          <w:rFonts w:ascii="Calibri" w:hAnsi="Calibri" w:cs="Arial"/>
        </w:rPr>
        <w:t>(PCV15)</w:t>
      </w:r>
    </w:p>
    <w:p w14:paraId="2498D885" w14:textId="77777777" w:rsidR="00985A8C" w:rsidRPr="00EB042E" w:rsidRDefault="00985A8C" w:rsidP="00985A8C">
      <w:pPr>
        <w:numPr>
          <w:ilvl w:val="1"/>
          <w:numId w:val="43"/>
        </w:numPr>
        <w:rPr>
          <w:rFonts w:ascii="Calibri" w:hAnsi="Calibri" w:cs="Arial"/>
        </w:rPr>
      </w:pPr>
      <w:r>
        <w:rPr>
          <w:rFonts w:ascii="Calibri" w:hAnsi="Calibri" w:cs="Arial"/>
        </w:rPr>
        <w:t>(PPSV23)</w:t>
      </w:r>
    </w:p>
    <w:p w14:paraId="16B73D9C" w14:textId="77777777" w:rsidR="00985A8C" w:rsidRDefault="00985A8C" w:rsidP="00985A8C">
      <w:pPr>
        <w:pStyle w:val="BodyText"/>
        <w:widowControl/>
        <w:numPr>
          <w:ilvl w:val="0"/>
          <w:numId w:val="43"/>
        </w:numPr>
        <w:snapToGrid/>
        <w:rPr>
          <w:rFonts w:ascii="Calibri" w:hAnsi="Calibri" w:cs="Arial"/>
          <w:szCs w:val="24"/>
        </w:rPr>
      </w:pPr>
      <w:r>
        <w:rPr>
          <w:rFonts w:ascii="Calibri" w:hAnsi="Calibri" w:cs="Arial"/>
          <w:szCs w:val="24"/>
        </w:rPr>
        <w:t>Resident and/or resident representative will be provided with education on the benefits and potential risks of receiving the pneumococcal vaccine</w:t>
      </w:r>
    </w:p>
    <w:p w14:paraId="0EC3549A" w14:textId="77777777" w:rsidR="00985A8C" w:rsidRDefault="00985A8C" w:rsidP="00985A8C">
      <w:pPr>
        <w:pStyle w:val="BodyText"/>
        <w:widowControl/>
        <w:numPr>
          <w:ilvl w:val="1"/>
          <w:numId w:val="43"/>
        </w:numPr>
        <w:snapToGrid/>
        <w:rPr>
          <w:rFonts w:ascii="Calibri" w:hAnsi="Calibri" w:cs="Arial"/>
          <w:szCs w:val="24"/>
        </w:rPr>
      </w:pPr>
      <w:r>
        <w:rPr>
          <w:rFonts w:ascii="Calibri" w:hAnsi="Calibri" w:cs="Arial"/>
          <w:szCs w:val="24"/>
        </w:rPr>
        <w:t>Documentation will include:</w:t>
      </w:r>
    </w:p>
    <w:p w14:paraId="769163FF" w14:textId="77777777" w:rsidR="00985A8C" w:rsidRDefault="00985A8C" w:rsidP="00985A8C">
      <w:pPr>
        <w:pStyle w:val="BodyText"/>
        <w:widowControl/>
        <w:numPr>
          <w:ilvl w:val="2"/>
          <w:numId w:val="43"/>
        </w:numPr>
        <w:snapToGrid/>
        <w:rPr>
          <w:rFonts w:ascii="Calibri" w:hAnsi="Calibri" w:cs="Arial"/>
          <w:szCs w:val="24"/>
        </w:rPr>
      </w:pPr>
      <w:r>
        <w:rPr>
          <w:rFonts w:ascii="Calibri" w:hAnsi="Calibri" w:cs="Arial"/>
          <w:szCs w:val="24"/>
        </w:rPr>
        <w:t>Education provided</w:t>
      </w:r>
    </w:p>
    <w:p w14:paraId="42B6157D" w14:textId="77777777" w:rsidR="00985A8C" w:rsidRDefault="00985A8C" w:rsidP="00985A8C">
      <w:pPr>
        <w:pStyle w:val="BodyText"/>
        <w:widowControl/>
        <w:numPr>
          <w:ilvl w:val="2"/>
          <w:numId w:val="43"/>
        </w:numPr>
        <w:snapToGrid/>
        <w:rPr>
          <w:rFonts w:ascii="Calibri" w:hAnsi="Calibri" w:cs="Arial"/>
          <w:szCs w:val="24"/>
        </w:rPr>
      </w:pPr>
      <w:r>
        <w:rPr>
          <w:rFonts w:ascii="Calibri" w:hAnsi="Calibri" w:cs="Arial"/>
          <w:szCs w:val="24"/>
        </w:rPr>
        <w:t>Resident/resident representative decision to accept or refuse vaccination</w:t>
      </w:r>
    </w:p>
    <w:p w14:paraId="5E632CF5" w14:textId="77777777" w:rsidR="00985A8C" w:rsidRDefault="00985A8C" w:rsidP="00985A8C">
      <w:pPr>
        <w:pStyle w:val="BodyText"/>
        <w:widowControl/>
        <w:numPr>
          <w:ilvl w:val="0"/>
          <w:numId w:val="43"/>
        </w:numPr>
        <w:snapToGrid/>
        <w:rPr>
          <w:rFonts w:ascii="Calibri" w:hAnsi="Calibri" w:cs="Arial"/>
          <w:szCs w:val="24"/>
        </w:rPr>
      </w:pPr>
      <w:r>
        <w:rPr>
          <w:rFonts w:ascii="Calibri" w:hAnsi="Calibri" w:cs="Arial"/>
          <w:szCs w:val="24"/>
        </w:rPr>
        <w:t>Administration:</w:t>
      </w:r>
    </w:p>
    <w:p w14:paraId="1DC096F6" w14:textId="77777777" w:rsidR="00985A8C" w:rsidRDefault="00985A8C" w:rsidP="00985A8C">
      <w:pPr>
        <w:pStyle w:val="BodyText"/>
        <w:widowControl/>
        <w:numPr>
          <w:ilvl w:val="1"/>
          <w:numId w:val="43"/>
        </w:numPr>
        <w:snapToGrid/>
        <w:rPr>
          <w:rFonts w:ascii="Calibri" w:hAnsi="Calibri" w:cs="Arial"/>
          <w:szCs w:val="24"/>
        </w:rPr>
      </w:pPr>
      <w:r>
        <w:rPr>
          <w:rFonts w:ascii="Calibri" w:hAnsi="Calibri" w:cs="Arial"/>
          <w:szCs w:val="24"/>
        </w:rPr>
        <w:lastRenderedPageBreak/>
        <w:t>Assess resident for fever and if sick</w:t>
      </w:r>
    </w:p>
    <w:p w14:paraId="006C1AB0" w14:textId="77777777" w:rsidR="00985A8C" w:rsidRDefault="00985A8C" w:rsidP="00985A8C">
      <w:pPr>
        <w:pStyle w:val="BodyText"/>
        <w:widowControl/>
        <w:numPr>
          <w:ilvl w:val="2"/>
          <w:numId w:val="43"/>
        </w:numPr>
        <w:snapToGrid/>
        <w:rPr>
          <w:rFonts w:ascii="Calibri" w:hAnsi="Calibri" w:cs="Arial"/>
          <w:szCs w:val="24"/>
        </w:rPr>
      </w:pPr>
      <w:r>
        <w:rPr>
          <w:rFonts w:ascii="Calibri" w:hAnsi="Calibri" w:cs="Arial"/>
          <w:szCs w:val="24"/>
        </w:rPr>
        <w:t>Delay administration until resident is well</w:t>
      </w:r>
    </w:p>
    <w:p w14:paraId="4E4871B5"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szCs w:val="24"/>
        </w:rPr>
        <w:t xml:space="preserve">“Never administer a pneumococcal conjugate vaccine </w:t>
      </w:r>
      <w:r>
        <w:rPr>
          <w:rFonts w:ascii="Calibri" w:hAnsi="Calibri" w:cs="Calibri"/>
          <w:color w:val="000000"/>
          <w:szCs w:val="24"/>
          <w:shd w:val="clear" w:color="auto" w:fill="FFFFFF"/>
        </w:rPr>
        <w:t>(PCV13, PCV15, or PCV20) and PPSV23 during the same visit)”</w:t>
      </w:r>
      <w:r>
        <w:rPr>
          <w:rFonts w:ascii="Calibri" w:hAnsi="Calibri" w:cs="Calibri"/>
          <w:color w:val="000000"/>
          <w:szCs w:val="24"/>
          <w:shd w:val="clear" w:color="auto" w:fill="FFFFFF"/>
          <w:vertAlign w:val="superscript"/>
        </w:rPr>
        <w:t>3</w:t>
      </w:r>
    </w:p>
    <w:p w14:paraId="4C3F0731"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color w:val="000000"/>
          <w:szCs w:val="24"/>
          <w:shd w:val="clear" w:color="auto" w:fill="FFFFFF"/>
        </w:rPr>
        <w:t>Pneumococcal vaccines and influenza vaccines can be administered at the same visit</w:t>
      </w:r>
    </w:p>
    <w:p w14:paraId="2903D152" w14:textId="77777777" w:rsidR="00985A8C" w:rsidRDefault="00985A8C" w:rsidP="00985A8C">
      <w:pPr>
        <w:pStyle w:val="BodyText"/>
        <w:widowControl/>
        <w:numPr>
          <w:ilvl w:val="2"/>
          <w:numId w:val="43"/>
        </w:numPr>
        <w:snapToGrid/>
        <w:rPr>
          <w:rFonts w:ascii="Calibri" w:hAnsi="Calibri" w:cs="Calibri"/>
          <w:szCs w:val="24"/>
        </w:rPr>
      </w:pPr>
      <w:r>
        <w:rPr>
          <w:rFonts w:ascii="Calibri" w:hAnsi="Calibri" w:cs="Calibri"/>
          <w:color w:val="000000"/>
          <w:szCs w:val="24"/>
          <w:shd w:val="clear" w:color="auto" w:fill="FFFFFF"/>
        </w:rPr>
        <w:t>Administer each with a separate syringe at a different injection site</w:t>
      </w:r>
    </w:p>
    <w:p w14:paraId="12820D8F"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color w:val="000000"/>
          <w:szCs w:val="24"/>
          <w:shd w:val="clear" w:color="auto" w:fill="FFFFFF"/>
        </w:rPr>
        <w:t>Check the expiration date on the label and inspect vaccine for appropriate color and to be sure that there is no particulate matter present</w:t>
      </w:r>
    </w:p>
    <w:p w14:paraId="224EE777" w14:textId="77777777" w:rsidR="00985A8C" w:rsidRDefault="00985A8C" w:rsidP="00985A8C">
      <w:pPr>
        <w:pStyle w:val="BodyText"/>
        <w:widowControl/>
        <w:numPr>
          <w:ilvl w:val="2"/>
          <w:numId w:val="43"/>
        </w:numPr>
        <w:snapToGrid/>
        <w:rPr>
          <w:rFonts w:ascii="Calibri" w:hAnsi="Calibri" w:cs="Calibri"/>
          <w:szCs w:val="24"/>
        </w:rPr>
      </w:pPr>
      <w:r>
        <w:rPr>
          <w:rFonts w:ascii="Calibri" w:hAnsi="Calibri" w:cs="Calibri"/>
          <w:color w:val="000000"/>
          <w:szCs w:val="24"/>
          <w:shd w:val="clear" w:color="auto" w:fill="FFFFFF"/>
        </w:rPr>
        <w:t>Do not administer if there are any concerns with integrity of the vaccine</w:t>
      </w:r>
    </w:p>
    <w:p w14:paraId="481282C4" w14:textId="77777777" w:rsidR="00985A8C" w:rsidRDefault="00985A8C" w:rsidP="00985A8C">
      <w:pPr>
        <w:pStyle w:val="BodyText"/>
        <w:widowControl/>
        <w:numPr>
          <w:ilvl w:val="2"/>
          <w:numId w:val="43"/>
        </w:numPr>
        <w:snapToGrid/>
        <w:rPr>
          <w:rFonts w:ascii="Calibri" w:hAnsi="Calibri" w:cs="Calibri"/>
          <w:szCs w:val="24"/>
        </w:rPr>
      </w:pPr>
      <w:r>
        <w:rPr>
          <w:rFonts w:ascii="Calibri" w:hAnsi="Calibri" w:cs="Calibri"/>
          <w:color w:val="000000"/>
          <w:szCs w:val="24"/>
          <w:shd w:val="clear" w:color="auto" w:fill="FFFFFF"/>
        </w:rPr>
        <w:t>Do not pre-draw vaccine.  Open vial at time of administration</w:t>
      </w:r>
    </w:p>
    <w:p w14:paraId="092F7E6F"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color w:val="000000"/>
          <w:szCs w:val="24"/>
          <w:shd w:val="clear" w:color="auto" w:fill="FFFFFF"/>
        </w:rPr>
        <w:t>PPSV23 can be administered “intramuscularly or subcutaneously”</w:t>
      </w:r>
      <w:r>
        <w:rPr>
          <w:rFonts w:ascii="Calibri" w:hAnsi="Calibri" w:cs="Calibri"/>
          <w:color w:val="000000"/>
          <w:szCs w:val="24"/>
          <w:shd w:val="clear" w:color="auto" w:fill="FFFFFF"/>
          <w:vertAlign w:val="superscript"/>
        </w:rPr>
        <w:t>3</w:t>
      </w:r>
    </w:p>
    <w:p w14:paraId="7E122B02"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color w:val="000000"/>
          <w:szCs w:val="24"/>
          <w:shd w:val="clear" w:color="auto" w:fill="FFFFFF"/>
        </w:rPr>
        <w:t>Pneumococcal conjugate vaccines (i.e., PCV15, PCV20) should be administered intramuscularly.</w:t>
      </w:r>
    </w:p>
    <w:p w14:paraId="1A08DEE5"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color w:val="000000"/>
          <w:szCs w:val="24"/>
          <w:shd w:val="clear" w:color="auto" w:fill="FFFFFF"/>
        </w:rPr>
        <w:t>Documentation should include:</w:t>
      </w:r>
    </w:p>
    <w:p w14:paraId="615BB1B5"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Temperature and symptoms</w:t>
      </w:r>
    </w:p>
    <w:p w14:paraId="15BD67A4"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Date and time of administration</w:t>
      </w:r>
    </w:p>
    <w:p w14:paraId="1E3DADDC"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Lot Number, Manufacturer, Expiration date</w:t>
      </w:r>
    </w:p>
    <w:p w14:paraId="3F439C00"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Site of administration</w:t>
      </w:r>
    </w:p>
    <w:p w14:paraId="1FC485FE" w14:textId="77777777" w:rsidR="00985A8C" w:rsidRPr="001270E8" w:rsidRDefault="00985A8C" w:rsidP="00985A8C">
      <w:pPr>
        <w:pStyle w:val="BodyText"/>
        <w:widowControl/>
        <w:numPr>
          <w:ilvl w:val="1"/>
          <w:numId w:val="43"/>
        </w:numPr>
        <w:snapToGrid/>
        <w:rPr>
          <w:rFonts w:ascii="Calibri" w:hAnsi="Calibri" w:cs="Arial"/>
          <w:bCs/>
          <w:szCs w:val="24"/>
        </w:rPr>
      </w:pPr>
      <w:r>
        <w:rPr>
          <w:rFonts w:ascii="Calibri" w:hAnsi="Calibri" w:cs="Arial"/>
          <w:bCs/>
          <w:szCs w:val="24"/>
        </w:rPr>
        <w:t>If the</w:t>
      </w:r>
      <w:r w:rsidRPr="001270E8">
        <w:rPr>
          <w:rFonts w:ascii="Calibri" w:hAnsi="Calibri" w:cs="Arial"/>
          <w:bCs/>
          <w:szCs w:val="24"/>
        </w:rPr>
        <w:t xml:space="preserve"> resident did not receive the influenza vaccine and the reason:</w:t>
      </w:r>
    </w:p>
    <w:p w14:paraId="51551A85"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Medical contraindication</w:t>
      </w:r>
    </w:p>
    <w:p w14:paraId="48E73177" w14:textId="77777777" w:rsidR="00985A8C" w:rsidRPr="001270E8" w:rsidRDefault="00985A8C" w:rsidP="00985A8C">
      <w:pPr>
        <w:pStyle w:val="BodyText"/>
        <w:widowControl/>
        <w:numPr>
          <w:ilvl w:val="2"/>
          <w:numId w:val="43"/>
        </w:numPr>
        <w:snapToGrid/>
        <w:rPr>
          <w:rFonts w:ascii="Calibri" w:hAnsi="Calibri" w:cs="Arial"/>
          <w:bCs/>
          <w:szCs w:val="24"/>
        </w:rPr>
      </w:pPr>
      <w:r w:rsidRPr="001270E8">
        <w:rPr>
          <w:rFonts w:ascii="Calibri" w:hAnsi="Calibri" w:cs="Arial"/>
          <w:bCs/>
          <w:szCs w:val="24"/>
        </w:rPr>
        <w:t>Refusal</w:t>
      </w:r>
      <w:r>
        <w:rPr>
          <w:rFonts w:ascii="Calibri" w:hAnsi="Calibri" w:cs="Arial"/>
          <w:bCs/>
          <w:szCs w:val="24"/>
        </w:rPr>
        <w:t xml:space="preserve"> after education provided</w:t>
      </w:r>
    </w:p>
    <w:p w14:paraId="68617134" w14:textId="77777777" w:rsidR="00985A8C" w:rsidRDefault="00985A8C" w:rsidP="00985A8C">
      <w:pPr>
        <w:pStyle w:val="BodyText"/>
        <w:widowControl/>
        <w:numPr>
          <w:ilvl w:val="0"/>
          <w:numId w:val="43"/>
        </w:numPr>
        <w:snapToGrid/>
        <w:rPr>
          <w:rFonts w:ascii="Calibri" w:hAnsi="Calibri" w:cs="Calibri"/>
          <w:szCs w:val="24"/>
        </w:rPr>
      </w:pPr>
      <w:r>
        <w:rPr>
          <w:rFonts w:ascii="Calibri" w:hAnsi="Calibri" w:cs="Calibri"/>
          <w:szCs w:val="24"/>
        </w:rPr>
        <w:t>Observe for any side effects</w:t>
      </w:r>
    </w:p>
    <w:p w14:paraId="7D40C2F6" w14:textId="77777777" w:rsidR="00985A8C" w:rsidRDefault="00985A8C" w:rsidP="00985A8C">
      <w:pPr>
        <w:pStyle w:val="BodyText"/>
        <w:widowControl/>
        <w:numPr>
          <w:ilvl w:val="1"/>
          <w:numId w:val="43"/>
        </w:numPr>
        <w:snapToGrid/>
        <w:rPr>
          <w:rFonts w:ascii="Calibri" w:hAnsi="Calibri" w:cs="Calibri"/>
          <w:szCs w:val="24"/>
        </w:rPr>
      </w:pPr>
      <w:r>
        <w:rPr>
          <w:rFonts w:ascii="Calibri" w:hAnsi="Calibri" w:cs="Calibri"/>
          <w:szCs w:val="24"/>
        </w:rPr>
        <w:t>Notify physician</w:t>
      </w:r>
    </w:p>
    <w:p w14:paraId="388446DC" w14:textId="77777777" w:rsidR="00985A8C" w:rsidRDefault="00985A8C" w:rsidP="00985A8C">
      <w:pPr>
        <w:pStyle w:val="BodyText"/>
        <w:rPr>
          <w:rFonts w:ascii="Calibri" w:hAnsi="Calibri" w:cs="Arial"/>
          <w:b/>
          <w:bCs/>
          <w:szCs w:val="24"/>
        </w:rPr>
      </w:pPr>
    </w:p>
    <w:p w14:paraId="67AE6E43" w14:textId="77777777" w:rsidR="00985A8C" w:rsidRDefault="00985A8C">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459F4A8D" w14:textId="6AC6CCDF" w:rsidR="00985A8C" w:rsidRPr="00985A8C" w:rsidRDefault="00985A8C" w:rsidP="00985A8C">
      <w:pPr>
        <w:pStyle w:val="BodyText"/>
        <w:rPr>
          <w:rFonts w:asciiTheme="minorHAnsi" w:hAnsiTheme="minorHAnsi" w:cstheme="minorHAnsi"/>
          <w:b/>
          <w:bCs/>
          <w:szCs w:val="24"/>
        </w:rPr>
      </w:pPr>
      <w:r w:rsidRPr="00985A8C">
        <w:rPr>
          <w:rFonts w:asciiTheme="minorHAnsi" w:hAnsiTheme="minorHAnsi" w:cstheme="minorHAnsi"/>
          <w:b/>
          <w:bCs/>
          <w:szCs w:val="24"/>
        </w:rPr>
        <w:lastRenderedPageBreak/>
        <w:t>Resources</w:t>
      </w:r>
    </w:p>
    <w:p w14:paraId="0AFBDAE4" w14:textId="77777777" w:rsidR="00985A8C" w:rsidRPr="00985A8C" w:rsidRDefault="00985A8C" w:rsidP="00985A8C">
      <w:pPr>
        <w:pStyle w:val="BodyText"/>
        <w:rPr>
          <w:rFonts w:asciiTheme="minorHAnsi" w:eastAsia="MS Mincho" w:hAnsiTheme="minorHAnsi" w:cstheme="minorHAnsi"/>
          <w:szCs w:val="24"/>
        </w:rPr>
      </w:pPr>
    </w:p>
    <w:p w14:paraId="7B09243B" w14:textId="77777777" w:rsidR="00985A8C" w:rsidRPr="00985A8C" w:rsidRDefault="00985A8C" w:rsidP="00985A8C">
      <w:pPr>
        <w:numPr>
          <w:ilvl w:val="0"/>
          <w:numId w:val="41"/>
        </w:numPr>
        <w:spacing w:after="160" w:line="259" w:lineRule="auto"/>
        <w:rPr>
          <w:rFonts w:asciiTheme="minorHAnsi" w:eastAsia="Calibri" w:hAnsiTheme="minorHAnsi" w:cstheme="minorHAnsi"/>
          <w:szCs w:val="24"/>
        </w:rPr>
      </w:pPr>
      <w:r w:rsidRPr="00985A8C">
        <w:rPr>
          <w:rFonts w:asciiTheme="minorHAnsi" w:eastAsia="MS Mincho" w:hAnsiTheme="minorHAnsi" w:cstheme="minorHAnsi"/>
          <w:szCs w:val="24"/>
          <w:vertAlign w:val="superscript"/>
        </w:rPr>
        <w:t>1</w:t>
      </w:r>
      <w:r w:rsidRPr="00985A8C">
        <w:rPr>
          <w:rFonts w:asciiTheme="minorHAnsi" w:eastAsia="MS Mincho" w:hAnsiTheme="minorHAnsi" w:cstheme="minorHAnsi"/>
          <w:szCs w:val="24"/>
        </w:rPr>
        <w:t xml:space="preserve">Centers for Medicare &amp; Medicaid Services State Operations Manual, Appendix PP – Guidance to Surveyors for Long Term Care Facilities (Rev. 173, 11-22-17) Advance Copy, 2022: </w:t>
      </w:r>
      <w:r w:rsidRPr="00555E03">
        <w:rPr>
          <w:rFonts w:asciiTheme="minorHAnsi" w:eastAsia="MS Mincho" w:hAnsiTheme="minorHAnsi" w:cstheme="minorHAnsi"/>
          <w:color w:val="0070C0"/>
          <w:szCs w:val="24"/>
        </w:rPr>
        <w:t xml:space="preserve"> </w:t>
      </w:r>
      <w:hyperlink r:id="rId10" w:history="1">
        <w:r w:rsidRPr="00555E03">
          <w:rPr>
            <w:rFonts w:asciiTheme="minorHAnsi" w:eastAsia="Calibri" w:hAnsiTheme="minorHAnsi" w:cstheme="minorHAnsi"/>
            <w:color w:val="0070C0"/>
            <w:szCs w:val="24"/>
            <w:u w:val="single"/>
          </w:rPr>
          <w:t>https://www.cms.gov/files/document/appendix-pp-guidance-surveyor-long-term-care-facilities.pdf</w:t>
        </w:r>
      </w:hyperlink>
    </w:p>
    <w:p w14:paraId="28BFEF9C" w14:textId="77777777" w:rsidR="00985A8C" w:rsidRPr="00985A8C" w:rsidRDefault="00985A8C" w:rsidP="00985A8C">
      <w:pPr>
        <w:pStyle w:val="BodyText"/>
        <w:widowControl/>
        <w:numPr>
          <w:ilvl w:val="0"/>
          <w:numId w:val="41"/>
        </w:numPr>
        <w:snapToGrid/>
        <w:rPr>
          <w:rFonts w:asciiTheme="minorHAnsi" w:hAnsiTheme="minorHAnsi" w:cstheme="minorHAnsi"/>
          <w:szCs w:val="24"/>
        </w:rPr>
      </w:pPr>
      <w:r w:rsidRPr="00985A8C">
        <w:rPr>
          <w:rFonts w:asciiTheme="minorHAnsi" w:hAnsiTheme="minorHAnsi" w:cstheme="minorHAnsi"/>
          <w:szCs w:val="24"/>
          <w:vertAlign w:val="superscript"/>
        </w:rPr>
        <w:t>2</w:t>
      </w:r>
      <w:r w:rsidRPr="00985A8C">
        <w:rPr>
          <w:rFonts w:asciiTheme="minorHAnsi" w:hAnsiTheme="minorHAnsi" w:cstheme="minorHAnsi"/>
          <w:szCs w:val="24"/>
        </w:rPr>
        <w:t>Centers for Disease Control and Prevention.  Morbidity and Mortality Weekly Report (</w:t>
      </w:r>
      <w:r w:rsidRPr="00985A8C">
        <w:rPr>
          <w:rFonts w:asciiTheme="minorHAnsi" w:hAnsiTheme="minorHAnsi" w:cstheme="minorHAnsi"/>
          <w:i/>
          <w:iCs/>
          <w:szCs w:val="24"/>
        </w:rPr>
        <w:t>MMWR</w:t>
      </w:r>
      <w:r w:rsidRPr="00985A8C">
        <w:rPr>
          <w:rFonts w:asciiTheme="minorHAnsi" w:hAnsiTheme="minorHAnsi" w:cstheme="minorHAnsi"/>
          <w:szCs w:val="24"/>
        </w:rPr>
        <w:t xml:space="preserve">) “Use of 15-Valent Pneumococcal Conjugate Vaccine and 20-Valent Pneumococcal Conjugate Vaccine Among U.S. Adults:  Updated Recommendations of the Advisory Committee on Immunization Practices – United States, 2022:  </w:t>
      </w:r>
      <w:hyperlink r:id="rId11" w:history="1">
        <w:r w:rsidRPr="00985A8C">
          <w:rPr>
            <w:rStyle w:val="Hyperlink"/>
            <w:rFonts w:asciiTheme="minorHAnsi" w:hAnsiTheme="minorHAnsi" w:cstheme="minorHAnsi"/>
            <w:szCs w:val="24"/>
          </w:rPr>
          <w:t>https://www.cdc.gov/mmwr/volumes/71/wr/mm7104a1.htm?s_cid=mm7104a1_w</w:t>
        </w:r>
      </w:hyperlink>
      <w:r w:rsidRPr="00985A8C">
        <w:rPr>
          <w:rFonts w:asciiTheme="minorHAnsi" w:hAnsiTheme="minorHAnsi" w:cstheme="minorHAnsi"/>
          <w:szCs w:val="24"/>
        </w:rPr>
        <w:t xml:space="preserve"> </w:t>
      </w:r>
    </w:p>
    <w:p w14:paraId="6657F708" w14:textId="77777777" w:rsidR="00985A8C" w:rsidRPr="00985A8C" w:rsidRDefault="00985A8C" w:rsidP="00985A8C">
      <w:pPr>
        <w:pStyle w:val="BodyText"/>
        <w:rPr>
          <w:rFonts w:asciiTheme="minorHAnsi" w:hAnsiTheme="minorHAnsi" w:cstheme="minorHAnsi"/>
          <w:szCs w:val="24"/>
        </w:rPr>
      </w:pPr>
    </w:p>
    <w:p w14:paraId="57ACD30F" w14:textId="77777777" w:rsidR="00985A8C" w:rsidRPr="00985A8C" w:rsidRDefault="00985A8C" w:rsidP="00985A8C">
      <w:pPr>
        <w:pStyle w:val="BodyText"/>
        <w:widowControl/>
        <w:numPr>
          <w:ilvl w:val="0"/>
          <w:numId w:val="41"/>
        </w:numPr>
        <w:snapToGrid/>
        <w:rPr>
          <w:rFonts w:asciiTheme="minorHAnsi" w:hAnsiTheme="minorHAnsi" w:cstheme="minorHAnsi"/>
          <w:szCs w:val="24"/>
        </w:rPr>
      </w:pPr>
      <w:r w:rsidRPr="00985A8C">
        <w:rPr>
          <w:rFonts w:asciiTheme="minorHAnsi" w:hAnsiTheme="minorHAnsi" w:cstheme="minorHAnsi"/>
          <w:szCs w:val="24"/>
          <w:vertAlign w:val="superscript"/>
        </w:rPr>
        <w:t>3</w:t>
      </w:r>
      <w:r w:rsidRPr="00985A8C">
        <w:rPr>
          <w:rFonts w:asciiTheme="minorHAnsi" w:hAnsiTheme="minorHAnsi" w:cstheme="minorHAnsi"/>
          <w:szCs w:val="24"/>
        </w:rPr>
        <w:t xml:space="preserve">Centers for Disease Control and Prevention.  Administering Pneumococcal Vaccines.  January 24, 2022:  </w:t>
      </w:r>
      <w:hyperlink r:id="rId12" w:history="1">
        <w:r w:rsidRPr="00985A8C">
          <w:rPr>
            <w:rStyle w:val="Hyperlink"/>
            <w:rFonts w:asciiTheme="minorHAnsi" w:hAnsiTheme="minorHAnsi" w:cstheme="minorHAnsi"/>
            <w:szCs w:val="24"/>
          </w:rPr>
          <w:t>https://www.cdc.gov/vaccines/vpd/pneumo/hcp/administering-vaccine.html</w:t>
        </w:r>
      </w:hyperlink>
    </w:p>
    <w:p w14:paraId="1C29C888" w14:textId="77777777" w:rsidR="00985A8C" w:rsidRPr="00985A8C" w:rsidRDefault="00985A8C" w:rsidP="00985A8C">
      <w:pPr>
        <w:pStyle w:val="ListParagraph"/>
        <w:rPr>
          <w:rFonts w:asciiTheme="minorHAnsi" w:hAnsiTheme="minorHAnsi" w:cstheme="minorHAnsi"/>
          <w:szCs w:val="24"/>
        </w:rPr>
      </w:pPr>
    </w:p>
    <w:p w14:paraId="09FEDA55" w14:textId="77777777" w:rsidR="00985A8C" w:rsidRPr="00985A8C" w:rsidRDefault="00985A8C" w:rsidP="00985A8C">
      <w:pPr>
        <w:pStyle w:val="BodyText"/>
        <w:widowControl/>
        <w:numPr>
          <w:ilvl w:val="0"/>
          <w:numId w:val="41"/>
        </w:numPr>
        <w:snapToGrid/>
        <w:rPr>
          <w:rFonts w:asciiTheme="minorHAnsi" w:hAnsiTheme="minorHAnsi" w:cstheme="minorHAnsi"/>
          <w:szCs w:val="24"/>
        </w:rPr>
      </w:pPr>
      <w:r w:rsidRPr="00985A8C">
        <w:rPr>
          <w:rFonts w:asciiTheme="minorHAnsi" w:hAnsiTheme="minorHAnsi" w:cstheme="minorHAnsi"/>
          <w:szCs w:val="24"/>
        </w:rPr>
        <w:t xml:space="preserve">Centers for Disease Control and Prevention.  Vaccine Recommendations and Guidelines of the ACIP.  “Pneumococcal ACIP Vaccine Recommendations”.  January 28, 2022:  </w:t>
      </w:r>
      <w:hyperlink r:id="rId13" w:history="1">
        <w:r w:rsidRPr="00985A8C">
          <w:rPr>
            <w:rStyle w:val="Hyperlink"/>
            <w:rFonts w:asciiTheme="minorHAnsi" w:hAnsiTheme="minorHAnsi" w:cstheme="minorHAnsi"/>
            <w:szCs w:val="24"/>
          </w:rPr>
          <w:t>https://www.cdc.gov/vaccines/hcp/acip-recs/vacc-specific/pneumo.html</w:t>
        </w:r>
      </w:hyperlink>
    </w:p>
    <w:p w14:paraId="16EB2C3A" w14:textId="77777777" w:rsidR="00A46059" w:rsidRPr="00985A8C" w:rsidRDefault="00A46059" w:rsidP="00A46059">
      <w:pPr>
        <w:rPr>
          <w:rFonts w:asciiTheme="minorHAnsi" w:hAnsiTheme="minorHAnsi" w:cstheme="minorHAnsi"/>
          <w:szCs w:val="24"/>
        </w:rPr>
      </w:pPr>
    </w:p>
    <w:p w14:paraId="36B0DE2A" w14:textId="29C8E5DF" w:rsidR="00985A8C" w:rsidRDefault="00985A8C">
      <w:pPr>
        <w:spacing w:after="160" w:line="259" w:lineRule="auto"/>
        <w:rPr>
          <w:rFonts w:ascii="Calibri" w:hAnsi="Calibri" w:cs="Calibri"/>
          <w:szCs w:val="24"/>
        </w:rPr>
      </w:pPr>
      <w:r>
        <w:rPr>
          <w:rFonts w:ascii="Calibri" w:hAnsi="Calibri" w:cs="Calibri"/>
          <w:szCs w:val="24"/>
        </w:rPr>
        <w:br w:type="page"/>
      </w:r>
    </w:p>
    <w:p w14:paraId="1B275436" w14:textId="4ED657EF" w:rsidR="00987103" w:rsidRDefault="00987103" w:rsidP="00517CCA">
      <w:pPr>
        <w:jc w:val="center"/>
        <w:rPr>
          <w:rFonts w:ascii="Calibri" w:hAnsi="Calibri" w:cs="Calibri"/>
          <w:szCs w:val="24"/>
        </w:rPr>
      </w:pPr>
    </w:p>
    <w:p w14:paraId="0FF84E22" w14:textId="72E34686" w:rsidR="00985A8C" w:rsidRPr="00060566" w:rsidRDefault="00985A8C" w:rsidP="00517CCA">
      <w:pPr>
        <w:jc w:val="center"/>
        <w:rPr>
          <w:rFonts w:ascii="Calibri" w:hAnsi="Calibri" w:cs="Calibri"/>
          <w:b/>
          <w:bCs/>
          <w:szCs w:val="24"/>
        </w:rPr>
      </w:pPr>
      <w:r w:rsidRPr="00060566">
        <w:rPr>
          <w:rFonts w:ascii="Calibri" w:hAnsi="Calibri" w:cs="Calibri"/>
          <w:b/>
          <w:bCs/>
          <w:szCs w:val="24"/>
        </w:rPr>
        <w:t>This Page Intentionally Left Blank</w:t>
      </w:r>
    </w:p>
    <w:sectPr w:rsidR="00985A8C" w:rsidRPr="00060566" w:rsidSect="00DE7AF9">
      <w:headerReference w:type="even" r:id="rId14"/>
      <w:headerReference w:type="default" r:id="rId15"/>
      <w:footerReference w:type="even" r:id="rId16"/>
      <w:footerReference w:type="default" r:id="rId17"/>
      <w:headerReference w:type="first" r:id="rId18"/>
      <w:footerReference w:type="first" r:id="rId1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D8E8" w14:textId="77777777" w:rsidR="001B0F1B" w:rsidRDefault="001B0F1B" w:rsidP="00FE158D">
      <w:r>
        <w:separator/>
      </w:r>
    </w:p>
  </w:endnote>
  <w:endnote w:type="continuationSeparator" w:id="0">
    <w:p w14:paraId="54066491" w14:textId="77777777" w:rsidR="001B0F1B" w:rsidRDefault="001B0F1B"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71F5" w14:textId="77777777" w:rsidR="001B0F1B" w:rsidRDefault="001B0F1B" w:rsidP="00FE158D">
      <w:r>
        <w:separator/>
      </w:r>
    </w:p>
  </w:footnote>
  <w:footnote w:type="continuationSeparator" w:id="0">
    <w:p w14:paraId="67031E2F" w14:textId="77777777" w:rsidR="001B0F1B" w:rsidRDefault="001B0F1B"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7A6E65"/>
    <w:multiLevelType w:val="hybridMultilevel"/>
    <w:tmpl w:val="0CF8FA6E"/>
    <w:lvl w:ilvl="0" w:tplc="377A8E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42329"/>
    <w:multiLevelType w:val="hybridMultilevel"/>
    <w:tmpl w:val="0584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1074"/>
    <w:multiLevelType w:val="hybridMultilevel"/>
    <w:tmpl w:val="75466DB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74DF4"/>
    <w:multiLevelType w:val="hybridMultilevel"/>
    <w:tmpl w:val="86FE488C"/>
    <w:lvl w:ilvl="0" w:tplc="BBE4C17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1B5332"/>
    <w:multiLevelType w:val="hybridMultilevel"/>
    <w:tmpl w:val="CB4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05EAF"/>
    <w:multiLevelType w:val="hybridMultilevel"/>
    <w:tmpl w:val="432EBFCC"/>
    <w:lvl w:ilvl="0" w:tplc="FF1EA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8317F"/>
    <w:multiLevelType w:val="hybridMultilevel"/>
    <w:tmpl w:val="102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D5D79"/>
    <w:multiLevelType w:val="hybridMultilevel"/>
    <w:tmpl w:val="821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D678C"/>
    <w:multiLevelType w:val="hybridMultilevel"/>
    <w:tmpl w:val="C7CA0B02"/>
    <w:lvl w:ilvl="0" w:tplc="D23847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7D87"/>
    <w:multiLevelType w:val="hybridMultilevel"/>
    <w:tmpl w:val="D3587C42"/>
    <w:lvl w:ilvl="0" w:tplc="EA9AD6E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3D82A"/>
    <w:multiLevelType w:val="hybridMultilevel"/>
    <w:tmpl w:val="F11082DE"/>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92563B"/>
    <w:multiLevelType w:val="hybridMultilevel"/>
    <w:tmpl w:val="D8AA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C95F25"/>
    <w:multiLevelType w:val="hybridMultilevel"/>
    <w:tmpl w:val="36CEE3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B559B"/>
    <w:multiLevelType w:val="hybridMultilevel"/>
    <w:tmpl w:val="AEA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935BE"/>
    <w:multiLevelType w:val="hybridMultilevel"/>
    <w:tmpl w:val="1250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72B43"/>
    <w:multiLevelType w:val="hybridMultilevel"/>
    <w:tmpl w:val="AAE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162BA"/>
    <w:multiLevelType w:val="hybridMultilevel"/>
    <w:tmpl w:val="9216F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911211"/>
    <w:multiLevelType w:val="hybridMultilevel"/>
    <w:tmpl w:val="12DA8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026C4"/>
    <w:multiLevelType w:val="hybridMultilevel"/>
    <w:tmpl w:val="B3D6CC9C"/>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06210"/>
    <w:multiLevelType w:val="hybridMultilevel"/>
    <w:tmpl w:val="C520D288"/>
    <w:lvl w:ilvl="0" w:tplc="A3FC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60107"/>
    <w:multiLevelType w:val="multilevel"/>
    <w:tmpl w:val="109C7868"/>
    <w:lvl w:ilvl="0">
      <w:start w:val="1"/>
      <w:numFmt w:val="decimal"/>
      <w:lvlText w:val="%1."/>
      <w:lvlJc w:val="left"/>
      <w:pPr>
        <w:tabs>
          <w:tab w:val="num" w:pos="360"/>
        </w:tabs>
        <w:ind w:left="360" w:hanging="360"/>
      </w:pPr>
      <w:rPr>
        <w:rFonts w:asciiTheme="minorHAnsi" w:eastAsia="Times New Roman" w:hAnsiTheme="minorHAnsi" w:cs="Calibri"/>
        <w:b/>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b w:val="0"/>
        <w:i w:val="0"/>
        <w:sz w:val="22"/>
        <w:szCs w:val="22"/>
      </w:rPr>
    </w:lvl>
    <w:lvl w:ilvl="3">
      <w:start w:val="1"/>
      <w:numFmt w:val="lowerRoman"/>
      <w:lvlText w:val="i%4"/>
      <w:lvlJc w:val="left"/>
      <w:pPr>
        <w:tabs>
          <w:tab w:val="num" w:pos="1440"/>
        </w:tabs>
        <w:ind w:left="1440" w:hanging="360"/>
      </w:pPr>
      <w:rPr>
        <w:rFonts w:hint="default"/>
        <w:b w:val="0"/>
        <w:i w:val="0"/>
        <w:sz w:val="22"/>
        <w:szCs w:val="22"/>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55F59"/>
    <w:multiLevelType w:val="hybridMultilevel"/>
    <w:tmpl w:val="321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722384"/>
    <w:multiLevelType w:val="hybridMultilevel"/>
    <w:tmpl w:val="2B0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9A5E29"/>
    <w:multiLevelType w:val="hybridMultilevel"/>
    <w:tmpl w:val="7BFC0B42"/>
    <w:lvl w:ilvl="0" w:tplc="FF08A1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A9602B"/>
    <w:multiLevelType w:val="hybridMultilevel"/>
    <w:tmpl w:val="279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C0FB6"/>
    <w:multiLevelType w:val="hybridMultilevel"/>
    <w:tmpl w:val="B314B640"/>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16"/>
  </w:num>
  <w:num w:numId="2" w16cid:durableId="288244667">
    <w:abstractNumId w:val="29"/>
  </w:num>
  <w:num w:numId="3" w16cid:durableId="567149931">
    <w:abstractNumId w:val="37"/>
  </w:num>
  <w:num w:numId="4" w16cid:durableId="186254777">
    <w:abstractNumId w:val="44"/>
  </w:num>
  <w:num w:numId="5" w16cid:durableId="1272661030">
    <w:abstractNumId w:val="20"/>
  </w:num>
  <w:num w:numId="6" w16cid:durableId="383796251">
    <w:abstractNumId w:val="2"/>
  </w:num>
  <w:num w:numId="7" w16cid:durableId="275798641">
    <w:abstractNumId w:val="5"/>
  </w:num>
  <w:num w:numId="8" w16cid:durableId="217785365">
    <w:abstractNumId w:val="23"/>
  </w:num>
  <w:num w:numId="9" w16cid:durableId="1351832077">
    <w:abstractNumId w:val="30"/>
  </w:num>
  <w:num w:numId="10" w16cid:durableId="931827">
    <w:abstractNumId w:val="15"/>
  </w:num>
  <w:num w:numId="11" w16cid:durableId="1190141823">
    <w:abstractNumId w:val="8"/>
  </w:num>
  <w:num w:numId="12" w16cid:durableId="1897425483">
    <w:abstractNumId w:val="14"/>
  </w:num>
  <w:num w:numId="13" w16cid:durableId="182012536">
    <w:abstractNumId w:val="38"/>
  </w:num>
  <w:num w:numId="14" w16cid:durableId="411203375">
    <w:abstractNumId w:val="45"/>
  </w:num>
  <w:num w:numId="15" w16cid:durableId="497887609">
    <w:abstractNumId w:val="18"/>
  </w:num>
  <w:num w:numId="16" w16cid:durableId="1973750784">
    <w:abstractNumId w:val="40"/>
  </w:num>
  <w:num w:numId="17" w16cid:durableId="51658287">
    <w:abstractNumId w:val="35"/>
  </w:num>
  <w:num w:numId="18" w16cid:durableId="1187132151">
    <w:abstractNumId w:val="28"/>
  </w:num>
  <w:num w:numId="19" w16cid:durableId="653459676">
    <w:abstractNumId w:val="17"/>
  </w:num>
  <w:num w:numId="20" w16cid:durableId="686978862">
    <w:abstractNumId w:val="36"/>
  </w:num>
  <w:num w:numId="21" w16cid:durableId="2134251444">
    <w:abstractNumId w:val="4"/>
  </w:num>
  <w:num w:numId="22" w16cid:durableId="181434659">
    <w:abstractNumId w:val="22"/>
  </w:num>
  <w:num w:numId="23" w16cid:durableId="23601403">
    <w:abstractNumId w:val="42"/>
  </w:num>
  <w:num w:numId="24" w16cid:durableId="104038257">
    <w:abstractNumId w:val="33"/>
  </w:num>
  <w:num w:numId="25" w16cid:durableId="1684741311">
    <w:abstractNumId w:val="43"/>
  </w:num>
  <w:num w:numId="26" w16cid:durableId="1927110796">
    <w:abstractNumId w:val="13"/>
  </w:num>
  <w:num w:numId="27" w16cid:durableId="855729629">
    <w:abstractNumId w:val="32"/>
  </w:num>
  <w:num w:numId="28" w16cid:durableId="583228105">
    <w:abstractNumId w:val="7"/>
  </w:num>
  <w:num w:numId="29" w16cid:durableId="1607038001">
    <w:abstractNumId w:val="34"/>
  </w:num>
  <w:num w:numId="30" w16cid:durableId="1542204206">
    <w:abstractNumId w:val="12"/>
  </w:num>
  <w:num w:numId="31" w16cid:durableId="738871160">
    <w:abstractNumId w:val="11"/>
  </w:num>
  <w:num w:numId="32" w16cid:durableId="60177185">
    <w:abstractNumId w:val="24"/>
  </w:num>
  <w:num w:numId="33" w16cid:durableId="357198423">
    <w:abstractNumId w:val="26"/>
  </w:num>
  <w:num w:numId="34" w16cid:durableId="1366950105">
    <w:abstractNumId w:val="21"/>
  </w:num>
  <w:num w:numId="35" w16cid:durableId="732704700">
    <w:abstractNumId w:val="3"/>
  </w:num>
  <w:num w:numId="36" w16cid:durableId="2037270469">
    <w:abstractNumId w:val="31"/>
  </w:num>
  <w:num w:numId="37" w16cid:durableId="55130366">
    <w:abstractNumId w:val="6"/>
  </w:num>
  <w:num w:numId="38" w16cid:durableId="1171287680">
    <w:abstractNumId w:val="41"/>
  </w:num>
  <w:num w:numId="39" w16cid:durableId="1691637929">
    <w:abstractNumId w:val="19"/>
  </w:num>
  <w:num w:numId="40" w16cid:durableId="564493116">
    <w:abstractNumId w:val="10"/>
  </w:num>
  <w:num w:numId="41" w16cid:durableId="1960410766">
    <w:abstractNumId w:val="39"/>
  </w:num>
  <w:num w:numId="42" w16cid:durableId="1410686942">
    <w:abstractNumId w:val="1"/>
  </w:num>
  <w:num w:numId="43" w16cid:durableId="266618566">
    <w:abstractNumId w:val="9"/>
  </w:num>
  <w:num w:numId="44" w16cid:durableId="1626959300">
    <w:abstractNumId w:val="25"/>
  </w:num>
  <w:num w:numId="45" w16cid:durableId="139273033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0566"/>
    <w:rsid w:val="00066D50"/>
    <w:rsid w:val="00076748"/>
    <w:rsid w:val="000B0803"/>
    <w:rsid w:val="000C50AF"/>
    <w:rsid w:val="000D380A"/>
    <w:rsid w:val="000D5B62"/>
    <w:rsid w:val="000E228A"/>
    <w:rsid w:val="000F7E90"/>
    <w:rsid w:val="00102A96"/>
    <w:rsid w:val="00110048"/>
    <w:rsid w:val="001139B8"/>
    <w:rsid w:val="0012309D"/>
    <w:rsid w:val="00126968"/>
    <w:rsid w:val="00144BE0"/>
    <w:rsid w:val="0015280D"/>
    <w:rsid w:val="001605BA"/>
    <w:rsid w:val="001641DB"/>
    <w:rsid w:val="00170AD2"/>
    <w:rsid w:val="00185739"/>
    <w:rsid w:val="0019504D"/>
    <w:rsid w:val="001B0F1B"/>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72DF7"/>
    <w:rsid w:val="003734C7"/>
    <w:rsid w:val="00373CF0"/>
    <w:rsid w:val="003A3E8D"/>
    <w:rsid w:val="003A498A"/>
    <w:rsid w:val="003B0882"/>
    <w:rsid w:val="003B0939"/>
    <w:rsid w:val="003F0C77"/>
    <w:rsid w:val="00402197"/>
    <w:rsid w:val="00416F96"/>
    <w:rsid w:val="004613FA"/>
    <w:rsid w:val="00474553"/>
    <w:rsid w:val="00484844"/>
    <w:rsid w:val="00517CCA"/>
    <w:rsid w:val="005225F5"/>
    <w:rsid w:val="00525687"/>
    <w:rsid w:val="00534CAA"/>
    <w:rsid w:val="0053732B"/>
    <w:rsid w:val="005405B2"/>
    <w:rsid w:val="005438CB"/>
    <w:rsid w:val="00552CED"/>
    <w:rsid w:val="00555E03"/>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B5F01"/>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5A8C"/>
    <w:rsid w:val="00987103"/>
    <w:rsid w:val="009B7479"/>
    <w:rsid w:val="009C106D"/>
    <w:rsid w:val="009C583E"/>
    <w:rsid w:val="009E178C"/>
    <w:rsid w:val="009E2F80"/>
    <w:rsid w:val="009F0488"/>
    <w:rsid w:val="00A039B0"/>
    <w:rsid w:val="00A25232"/>
    <w:rsid w:val="00A332E5"/>
    <w:rsid w:val="00A46059"/>
    <w:rsid w:val="00A723F9"/>
    <w:rsid w:val="00A86993"/>
    <w:rsid w:val="00A9460A"/>
    <w:rsid w:val="00AA001E"/>
    <w:rsid w:val="00AA3D15"/>
    <w:rsid w:val="00AA7C93"/>
    <w:rsid w:val="00AB677E"/>
    <w:rsid w:val="00AC0FC3"/>
    <w:rsid w:val="00B019EA"/>
    <w:rsid w:val="00B24D8D"/>
    <w:rsid w:val="00B24FB4"/>
    <w:rsid w:val="00BA4702"/>
    <w:rsid w:val="00BB507F"/>
    <w:rsid w:val="00BC79D8"/>
    <w:rsid w:val="00BF2FC4"/>
    <w:rsid w:val="00C0102E"/>
    <w:rsid w:val="00C170A5"/>
    <w:rsid w:val="00C22F34"/>
    <w:rsid w:val="00C47D16"/>
    <w:rsid w:val="00C71D53"/>
    <w:rsid w:val="00C82867"/>
    <w:rsid w:val="00C83618"/>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EF0E36"/>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460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517CCA"/>
    <w:pPr>
      <w:keepNext/>
      <w:tabs>
        <w:tab w:val="center" w:pos="4680"/>
      </w:tabs>
      <w:suppressAutoHyphens/>
      <w:outlineLvl w:val="2"/>
    </w:pPr>
    <w:rPr>
      <w:rFonts w:ascii="Arial" w:hAnsi="Arial"/>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nhideWhenUsed/>
    <w:rsid w:val="0015280D"/>
    <w:rPr>
      <w:sz w:val="20"/>
    </w:rPr>
  </w:style>
  <w:style w:type="character" w:customStyle="1" w:styleId="FootnoteTextChar">
    <w:name w:val="Footnote Text Char"/>
    <w:basedOn w:val="DefaultParagraphFont"/>
    <w:link w:val="FootnoteText"/>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 w:type="character" w:styleId="FootnoteReference">
    <w:name w:val="footnote reference"/>
    <w:basedOn w:val="DefaultParagraphFont"/>
    <w:unhideWhenUsed/>
    <w:rsid w:val="000C50AF"/>
    <w:rPr>
      <w:vertAlign w:val="superscript"/>
    </w:rPr>
  </w:style>
  <w:style w:type="paragraph" w:customStyle="1" w:styleId="CMSbodytext">
    <w:name w:val="CMS body text"/>
    <w:basedOn w:val="Normal"/>
    <w:qFormat/>
    <w:rsid w:val="000C50AF"/>
    <w:pPr>
      <w:spacing w:after="120"/>
    </w:pPr>
    <w:rPr>
      <w:szCs w:val="24"/>
    </w:rPr>
  </w:style>
  <w:style w:type="character" w:customStyle="1" w:styleId="Heading3Char">
    <w:name w:val="Heading 3 Char"/>
    <w:basedOn w:val="DefaultParagraphFont"/>
    <w:link w:val="Heading3"/>
    <w:rsid w:val="00517CCA"/>
    <w:rPr>
      <w:rFonts w:ascii="Arial" w:eastAsia="Times New Roman" w:hAnsi="Arial" w:cs="Times New Roman"/>
      <w:b/>
      <w:spacing w:val="-3"/>
      <w:sz w:val="24"/>
      <w:szCs w:val="24"/>
    </w:rPr>
  </w:style>
  <w:style w:type="character" w:customStyle="1" w:styleId="Heading1Char">
    <w:name w:val="Heading 1 Char"/>
    <w:basedOn w:val="DefaultParagraphFont"/>
    <w:link w:val="Heading1"/>
    <w:uiPriority w:val="9"/>
    <w:rsid w:val="00A460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acip/index.html" TargetMode="External"/><Relationship Id="rId13" Type="http://schemas.openxmlformats.org/officeDocument/2006/relationships/hyperlink" Target="https://www.cdc.gov/vaccines/hcp/acip-recs/vacc-specific/pneumo.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vaccines/vpd/pneumo/hcp/administering-vaccin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mwr/volumes/71/wr/mm7104a1.htm?s_cid=mm7104a1_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ms.gov/files/document/appendix-pp-guidance-surveyor-long-term-care-facilitie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dc.gov/vaccines/hcp/acip-recs/vacc-specific/pneumo.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1042</Words>
  <Characters>6028</Characters>
  <Application>Microsoft Office Word</Application>
  <DocSecurity>0</DocSecurity>
  <Lines>89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3</cp:revision>
  <dcterms:created xsi:type="dcterms:W3CDTF">2022-07-29T15:16:00Z</dcterms:created>
  <dcterms:modified xsi:type="dcterms:W3CDTF">2022-08-15T14:22:00Z</dcterms:modified>
</cp:coreProperties>
</file>