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b w:val="1"/>
          <w:rtl w:val="0"/>
        </w:rPr>
        <w:t xml:space="preserve">National Workforce Development Month (WDM) September 2022 </w:t>
      </w:r>
      <w:r w:rsidDel="00000000" w:rsidR="00000000" w:rsidRPr="00000000">
        <w:rPr>
          <w:rtl w:val="0"/>
        </w:rPr>
      </w:r>
    </w:p>
    <w:p w:rsidR="00000000" w:rsidDel="00000000" w:rsidP="00000000" w:rsidRDefault="00000000" w:rsidRPr="00000000" w14:paraId="00000002">
      <w:pPr>
        <w:ind w:left="0" w:firstLine="0"/>
        <w:jc w:val="center"/>
        <w:rPr/>
      </w:pPr>
      <w:r w:rsidDel="00000000" w:rsidR="00000000" w:rsidRPr="00000000">
        <w:rPr>
          <w:rtl w:val="0"/>
        </w:rPr>
        <w:t xml:space="preserve">Op - Ed Template </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rPr>
          <w:b w:val="1"/>
          <w:u w:val="single"/>
        </w:rPr>
      </w:pPr>
      <w:r w:rsidDel="00000000" w:rsidR="00000000" w:rsidRPr="00000000">
        <w:rPr>
          <w:b w:val="1"/>
          <w:rtl w:val="0"/>
        </w:rPr>
        <w:t xml:space="preserve">Submitting an op-ed to a newspaper:</w:t>
      </w:r>
      <w:r w:rsidDel="00000000" w:rsidR="00000000" w:rsidRPr="00000000">
        <w:rPr>
          <w:b w:val="1"/>
          <w:u w:val="single"/>
          <w:rtl w:val="0"/>
        </w:rPr>
        <w:t xml:space="preserve"> </w:t>
      </w:r>
    </w:p>
    <w:p w:rsidR="00000000" w:rsidDel="00000000" w:rsidP="00000000" w:rsidRDefault="00000000" w:rsidRPr="00000000" w14:paraId="00000005">
      <w:pPr>
        <w:rPr>
          <w:b w:val="1"/>
          <w:u w:val="single"/>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Most newspapers welcome submissions from readers, either in the form of a letter to the editor or an opinion piece (op-ed). </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Length: </w:t>
      </w:r>
      <w:r w:rsidDel="00000000" w:rsidR="00000000" w:rsidRPr="00000000">
        <w:rPr>
          <w:rtl w:val="0"/>
        </w:rPr>
        <w:t xml:space="preserve">Generally, op-eds are 300-500 words, while letters to the editor are shorter, roughly 150 words or so. To increase the odds of publication, do not exceed the paper’s word count requirements.</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Topics: </w:t>
      </w:r>
      <w:r w:rsidDel="00000000" w:rsidR="00000000" w:rsidRPr="00000000">
        <w:rPr>
          <w:rtl w:val="0"/>
        </w:rPr>
        <w:t xml:space="preserve">Op-eds should be relevant to issues that are of interest to the outlet’s readership, while letters to the editor are most often a direct response to a published story or op-ed. </w:t>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How to submit: </w:t>
      </w:r>
      <w:r w:rsidDel="00000000" w:rsidR="00000000" w:rsidRPr="00000000">
        <w:rPr>
          <w:rtl w:val="0"/>
        </w:rPr>
        <w:t xml:space="preserve">Search your target outlet’s “opinion” section or look for “letters to the editor” and “how to submit.” Be sure you adhere to the publication’s requirements: for instance, they may request exclusivity. Editors may also require that you include your address and phone number so that, should they want to publish your letter, they can confirm that you are in fact the author of the submitted content (this info is not for publication).</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pPr>
      <w:r w:rsidDel="00000000" w:rsidR="00000000" w:rsidRPr="00000000">
        <w:rPr>
          <w:b w:val="1"/>
          <w:rtl w:val="0"/>
        </w:rPr>
        <w:t xml:space="preserve">Content: </w:t>
      </w:r>
      <w:r w:rsidDel="00000000" w:rsidR="00000000" w:rsidRPr="00000000">
        <w:rPr>
          <w:rtl w:val="0"/>
        </w:rPr>
        <w:t xml:space="preserve">Make your copy relevant and relatable. Share stories, examples, or local data. Best practice is to connect your commentary to an event or a trend that impacts your community–and if you have a link to online coverage or relevant, credible published research–include it.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i w:val="1"/>
        </w:rPr>
      </w:pPr>
      <w:r w:rsidDel="00000000" w:rsidR="00000000" w:rsidRPr="00000000">
        <w:rPr>
          <w:b w:val="1"/>
          <w:rtl w:val="0"/>
        </w:rPr>
        <w:t xml:space="preserve">Op-Ed TEMPLATE FOR Multi-site Organizations: </w:t>
      </w:r>
      <w:r w:rsidDel="00000000" w:rsidR="00000000" w:rsidRPr="00000000">
        <w:rPr>
          <w:i w:val="1"/>
          <w:rtl w:val="0"/>
        </w:rPr>
        <w:t xml:space="preserve">use the copy below as a framework for an opinion piece to submit to your local paper. Customize, where indicated in yellow, by including information specific to your community. </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TK words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HED: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COPY: September is National Workforce Development Month. Supporting the people who care for our country’s older adults has always been important; they are the heart of how we care for our families.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&lt;</w:t>
      </w:r>
      <w:r w:rsidDel="00000000" w:rsidR="00000000" w:rsidRPr="00000000">
        <w:rPr>
          <w:highlight w:val="yellow"/>
          <w:rtl w:val="0"/>
        </w:rPr>
        <w:t xml:space="preserve">insert example of a dedicated worker at your community</w:t>
      </w:r>
      <w:r w:rsidDel="00000000" w:rsidR="00000000" w:rsidRPr="00000000">
        <w:rPr>
          <w:rtl w:val="0"/>
        </w:rPr>
        <w:t xml:space="preserve">&gt; We need more like &lt;</w:t>
      </w:r>
      <w:r w:rsidDel="00000000" w:rsidR="00000000" w:rsidRPr="00000000">
        <w:rPr>
          <w:highlight w:val="yellow"/>
          <w:rtl w:val="0"/>
        </w:rPr>
        <w:t xml:space="preserve">insert name of worker</w:t>
      </w:r>
      <w:r w:rsidDel="00000000" w:rsidR="00000000" w:rsidRPr="00000000">
        <w:rPr>
          <w:rtl w:val="0"/>
        </w:rPr>
        <w:t xml:space="preserve">&gt;</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According to the U.S. Bureau of Labor Statistics, 229,000 professional caregivers have left the aging services sector since February 2020. Here in </w:t>
      </w:r>
      <w:r w:rsidDel="00000000" w:rsidR="00000000" w:rsidRPr="00000000">
        <w:rPr>
          <w:highlight w:val="yellow"/>
          <w:rtl w:val="0"/>
        </w:rPr>
        <w:t xml:space="preserve">&lt;insert state&gt;</w:t>
      </w:r>
      <w:r w:rsidDel="00000000" w:rsidR="00000000" w:rsidRPr="00000000">
        <w:rPr>
          <w:rtl w:val="0"/>
        </w:rPr>
        <w:t xml:space="preserve">, the situation on the ground is </w:t>
      </w:r>
      <w:r w:rsidDel="00000000" w:rsidR="00000000" w:rsidRPr="00000000">
        <w:rPr>
          <w:highlight w:val="yellow"/>
          <w:rtl w:val="0"/>
        </w:rPr>
        <w:t xml:space="preserve">&lt;insert stat about workforce in your state&gt;</w:t>
      </w:r>
      <w:r w:rsidDel="00000000" w:rsidR="00000000" w:rsidRPr="00000000">
        <w:rPr>
          <w:rtl w:val="0"/>
        </w:rPr>
        <w:t xml:space="preserve">. And because America’s population is aging rapidly, demand for services continues to grow.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Organizations such as ours across the country have a </w:t>
      </w:r>
      <w:hyperlink r:id="rId6">
        <w:r w:rsidDel="00000000" w:rsidR="00000000" w:rsidRPr="00000000">
          <w:rPr>
            <w:color w:val="1155cc"/>
            <w:u w:val="single"/>
            <w:rtl w:val="0"/>
          </w:rPr>
          <w:t xml:space="preserve">range of job and career opportunities</w:t>
        </w:r>
      </w:hyperlink>
      <w:r w:rsidDel="00000000" w:rsidR="00000000" w:rsidRPr="00000000">
        <w:rPr>
          <w:rtl w:val="0"/>
        </w:rPr>
        <w:t xml:space="preserve"> – including, but not limited to, professional caregiving and nursing. Our community, for instance, employs &lt;</w:t>
      </w:r>
      <w:r w:rsidDel="00000000" w:rsidR="00000000" w:rsidRPr="00000000">
        <w:rPr>
          <w:highlight w:val="yellow"/>
          <w:rtl w:val="0"/>
        </w:rPr>
        <w:t xml:space="preserve">insert number of staff here</w:t>
      </w:r>
      <w:r w:rsidDel="00000000" w:rsidR="00000000" w:rsidRPr="00000000">
        <w:rPr>
          <w:rtl w:val="0"/>
        </w:rPr>
        <w:t xml:space="preserve">&gt; people, across a range of functions, from finance and fundraising to marketing, social work, dining and groundskeepers.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We’re doing our best to inform and engage prospective workers about the breadth of possibilities and the impact of careers in a mission-driven aging services workplace—including &lt;</w:t>
      </w:r>
      <w:r w:rsidDel="00000000" w:rsidR="00000000" w:rsidRPr="00000000">
        <w:rPr>
          <w:highlight w:val="yellow"/>
          <w:rtl w:val="0"/>
        </w:rPr>
        <w:t xml:space="preserve">insert example of workforce development initiative</w:t>
      </w:r>
      <w:r w:rsidDel="00000000" w:rsidR="00000000" w:rsidRPr="00000000">
        <w:rPr>
          <w:rtl w:val="0"/>
        </w:rPr>
        <w:t xml:space="preserve">&gt; that will &lt;</w:t>
      </w:r>
      <w:r w:rsidDel="00000000" w:rsidR="00000000" w:rsidRPr="00000000">
        <w:rPr>
          <w:highlight w:val="yellow"/>
          <w:rtl w:val="0"/>
        </w:rPr>
        <w:t xml:space="preserve">insert explanation of benefit</w:t>
      </w:r>
      <w:r w:rsidDel="00000000" w:rsidR="00000000" w:rsidRPr="00000000">
        <w:rPr>
          <w:rtl w:val="0"/>
        </w:rPr>
        <w:t xml:space="preserve">&gt;. We’re not alone; providers across the country have rolled out initiatives. Cedar Falls, IA-based Western Home Communities this year welcomed hospitality interns to the U.S. through the State Department’s </w:t>
      </w:r>
      <w:hyperlink r:id="rId7">
        <w:r w:rsidDel="00000000" w:rsidR="00000000" w:rsidRPr="00000000">
          <w:rPr>
            <w:color w:val="1155cc"/>
            <w:u w:val="single"/>
            <w:rtl w:val="0"/>
          </w:rPr>
          <w:t xml:space="preserve">Exchange Visitor Program</w:t>
        </w:r>
      </w:hyperlink>
      <w:r w:rsidDel="00000000" w:rsidR="00000000" w:rsidRPr="00000000">
        <w:rPr>
          <w:rtl w:val="0"/>
        </w:rPr>
        <w:t xml:space="preserve">; </w:t>
      </w:r>
      <w:r w:rsidDel="00000000" w:rsidR="00000000" w:rsidRPr="00000000">
        <w:rPr>
          <w:rtl w:val="0"/>
        </w:rPr>
        <w:t xml:space="preserve">in Illinois, </w:t>
      </w:r>
      <w:hyperlink r:id="rId8">
        <w:r w:rsidDel="00000000" w:rsidR="00000000" w:rsidRPr="00000000">
          <w:rPr>
            <w:color w:val="1155cc"/>
            <w:u w:val="single"/>
            <w:rtl w:val="0"/>
          </w:rPr>
          <w:t xml:space="preserve">Chicago Methodist Senior Services</w:t>
        </w:r>
      </w:hyperlink>
      <w:r w:rsidDel="00000000" w:rsidR="00000000" w:rsidRPr="00000000">
        <w:rPr>
          <w:rtl w:val="0"/>
        </w:rPr>
        <w:t xml:space="preserve"> created</w:t>
      </w:r>
      <w:hyperlink r:id="rId9">
        <w:r w:rsidDel="00000000" w:rsidR="00000000" w:rsidRPr="00000000">
          <w:rPr>
            <w:color w:val="1155cc"/>
            <w:u w:val="single"/>
            <w:rtl w:val="0"/>
          </w:rPr>
          <w:t xml:space="preserve"> United Methodist Healthcare Recruitment</w:t>
        </w:r>
      </w:hyperlink>
      <w:r w:rsidDel="00000000" w:rsidR="00000000" w:rsidRPr="00000000">
        <w:rPr>
          <w:rtl w:val="0"/>
        </w:rPr>
        <w:t xml:space="preserve"> (UMHR) to facilitate the recruitment of nurses from the Philippines. Through the program, about 300 Filipino nurses are consistently in the pipeline to come to the U.S.; plans call for its expansion to countries in Africa.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In addition to recruitment, retention is key. Our community is doing </w:t>
      </w:r>
      <w:r w:rsidDel="00000000" w:rsidR="00000000" w:rsidRPr="00000000">
        <w:rPr>
          <w:highlight w:val="yellow"/>
          <w:rtl w:val="0"/>
        </w:rPr>
        <w:t xml:space="preserve">&lt;insert example here&gt;</w:t>
      </w:r>
      <w:r w:rsidDel="00000000" w:rsidR="00000000" w:rsidRPr="00000000">
        <w:rPr>
          <w:rtl w:val="0"/>
        </w:rPr>
        <w:t xml:space="preserve"> to support and retain our staff. Others throughout the country are taking similar steps. Recognizing the importance of career development, Perry Lutheran Homes in Iowa, for instance, in partnership with the </w:t>
      </w:r>
      <w:hyperlink r:id="rId10">
        <w:r w:rsidDel="00000000" w:rsidR="00000000" w:rsidRPr="00000000">
          <w:rPr>
            <w:color w:val="1155cc"/>
            <w:u w:val="single"/>
            <w:rtl w:val="0"/>
          </w:rPr>
          <w:t xml:space="preserve">Des Moines Area Community College</w:t>
        </w:r>
      </w:hyperlink>
      <w:r w:rsidDel="00000000" w:rsidR="00000000" w:rsidRPr="00000000">
        <w:rPr>
          <w:rtl w:val="0"/>
        </w:rPr>
        <w:t xml:space="preserve"> (DMACC) created the  </w:t>
      </w:r>
      <w:hyperlink r:id="rId11">
        <w:r w:rsidDel="00000000" w:rsidR="00000000" w:rsidRPr="00000000">
          <w:rPr>
            <w:color w:val="1155cc"/>
            <w:u w:val="single"/>
            <w:rtl w:val="0"/>
          </w:rPr>
          <w:t xml:space="preserve">“step up program” </w:t>
        </w:r>
      </w:hyperlink>
      <w:r w:rsidDel="00000000" w:rsidR="00000000" w:rsidRPr="00000000">
        <w:rPr>
          <w:rtl w:val="0"/>
        </w:rPr>
        <w:t xml:space="preserve">to help employees earn certifications and degrees through promotion, higher education, and tuition reimbursement in return for a work commit for a specified time are common throughout aging services.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Building the aging services workforce is a complex undertaking, requiring action on multiple fronts. Here in &lt;</w:t>
      </w:r>
      <w:r w:rsidDel="00000000" w:rsidR="00000000" w:rsidRPr="00000000">
        <w:rPr>
          <w:highlight w:val="yellow"/>
          <w:rtl w:val="0"/>
        </w:rPr>
        <w:t xml:space="preserve">your location</w:t>
      </w:r>
      <w:r w:rsidDel="00000000" w:rsidR="00000000" w:rsidRPr="00000000">
        <w:rPr>
          <w:rtl w:val="0"/>
        </w:rPr>
        <w:t xml:space="preserve">&gt;, we invite readers to support the critical professionals working in aging services. They are the heart of how we care for older adults and families.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jc w:val="center"/>
        <w:rPr/>
      </w:pPr>
      <w:r w:rsidDel="00000000" w:rsidR="00000000" w:rsidRPr="00000000">
        <w:rPr>
          <w:rtl w:val="0"/>
        </w:rPr>
        <w:t xml:space="preserve"># #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leadingage.org/Members/Members-Support-Staff-with-Career-Building-Innovations" TargetMode="External"/><Relationship Id="rId10" Type="http://schemas.openxmlformats.org/officeDocument/2006/relationships/hyperlink" Target="https://www.dmacc.edu/Pages/welcome.aspx" TargetMode="External"/><Relationship Id="rId9" Type="http://schemas.openxmlformats.org/officeDocument/2006/relationships/hyperlink" Target="https://www.cmsschicago.org/employment/umhr/" TargetMode="External"/><Relationship Id="rId5" Type="http://schemas.openxmlformats.org/officeDocument/2006/relationships/styles" Target="styles.xml"/><Relationship Id="rId6" Type="http://schemas.openxmlformats.org/officeDocument/2006/relationships/hyperlink" Target="https://www.leadingage.org/sites/default/files/CAREERS%20IN%20OLDER%20ADULT%20SERVICES%20Quick%20Facts.pdf?_ga=2.6722290.1570707630.1661174444-1797228611.1660932546" TargetMode="External"/><Relationship Id="rId7" Type="http://schemas.openxmlformats.org/officeDocument/2006/relationships/hyperlink" Target="https://travel.state.gov/content/travel/en/us-visas/study/exchange.html" TargetMode="External"/><Relationship Id="rId8" Type="http://schemas.openxmlformats.org/officeDocument/2006/relationships/hyperlink" Target="https://www.cmsschicag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