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5C4F2045" w:rsidR="00416F96" w:rsidRDefault="00945B7E">
                            <w:pPr>
                              <w:rPr>
                                <w:rFonts w:ascii="Calibri" w:hAnsi="Calibri"/>
                                <w:b/>
                                <w:color w:val="FFFFFF" w:themeColor="background1"/>
                                <w:sz w:val="72"/>
                              </w:rPr>
                            </w:pPr>
                            <w:r>
                              <w:rPr>
                                <w:rFonts w:ascii="Calibri" w:hAnsi="Calibri"/>
                                <w:b/>
                                <w:color w:val="FFFFFF" w:themeColor="background1"/>
                                <w:sz w:val="72"/>
                              </w:rPr>
                              <w:t>COVID-19 Testing</w:t>
                            </w:r>
                          </w:p>
                          <w:p w14:paraId="6295E0F0" w14:textId="77777777" w:rsidR="00945B7E" w:rsidRDefault="00945B7E">
                            <w:pPr>
                              <w:rPr>
                                <w:rFonts w:ascii="Calibri" w:hAnsi="Calibri"/>
                                <w:b/>
                                <w:color w:val="FFFFFF" w:themeColor="background1"/>
                                <w:sz w:val="72"/>
                              </w:rPr>
                            </w:pPr>
                          </w:p>
                          <w:p w14:paraId="49A15722" w14:textId="4B8D5445" w:rsidR="00945B7E" w:rsidRDefault="00945B7E">
                            <w:pPr>
                              <w:rPr>
                                <w:rFonts w:ascii="Calibri" w:hAnsi="Calibri"/>
                                <w:b/>
                                <w:color w:val="FFFFFF" w:themeColor="background1"/>
                                <w:sz w:val="72"/>
                              </w:rPr>
                            </w:pPr>
                            <w:r>
                              <w:rPr>
                                <w:rFonts w:ascii="Calibri" w:hAnsi="Calibri"/>
                                <w:b/>
                                <w:color w:val="FFFFFF" w:themeColor="background1"/>
                                <w:sz w:val="72"/>
                              </w:rPr>
                              <w:t>General Information</w:t>
                            </w:r>
                          </w:p>
                          <w:p w14:paraId="07E6B5BC" w14:textId="1694AA61" w:rsidR="00301477" w:rsidRPr="00301477" w:rsidRDefault="00301477">
                            <w:pPr>
                              <w:rPr>
                                <w:rFonts w:ascii="Calibri" w:hAnsi="Calibri"/>
                                <w:b/>
                                <w:color w:val="FFFFFF" w:themeColor="background1"/>
                                <w:sz w:val="36"/>
                                <w:szCs w:val="36"/>
                              </w:rPr>
                            </w:pPr>
                            <w:r w:rsidRPr="00301477">
                              <w:rPr>
                                <w:rFonts w:ascii="Calibri" w:hAnsi="Calibri"/>
                                <w:b/>
                                <w:color w:val="FFFFFF" w:themeColor="background1"/>
                                <w:sz w:val="36"/>
                                <w:szCs w:val="36"/>
                              </w:rPr>
                              <w:t>(</w:t>
                            </w:r>
                            <w:r w:rsidR="0029611C">
                              <w:rPr>
                                <w:rFonts w:ascii="Calibri" w:hAnsi="Calibri"/>
                                <w:b/>
                                <w:color w:val="FFFFFF" w:themeColor="background1"/>
                                <w:sz w:val="36"/>
                                <w:szCs w:val="36"/>
                              </w:rPr>
                              <w:t>05/26/2021</w:t>
                            </w:r>
                            <w:r w:rsidRPr="00301477">
                              <w:rPr>
                                <w:rFonts w:ascii="Calibri" w:hAnsi="Calibri"/>
                                <w:b/>
                                <w:color w:val="FFFFFF" w:themeColor="background1"/>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6296E76" w14:textId="5C4F2045" w:rsidR="00416F96" w:rsidRDefault="00945B7E">
                      <w:pPr>
                        <w:rPr>
                          <w:rFonts w:ascii="Calibri" w:hAnsi="Calibri"/>
                          <w:b/>
                          <w:color w:val="FFFFFF" w:themeColor="background1"/>
                          <w:sz w:val="72"/>
                        </w:rPr>
                      </w:pPr>
                      <w:r>
                        <w:rPr>
                          <w:rFonts w:ascii="Calibri" w:hAnsi="Calibri"/>
                          <w:b/>
                          <w:color w:val="FFFFFF" w:themeColor="background1"/>
                          <w:sz w:val="72"/>
                        </w:rPr>
                        <w:t>COVID-19 Testing</w:t>
                      </w:r>
                    </w:p>
                    <w:p w14:paraId="6295E0F0" w14:textId="77777777" w:rsidR="00945B7E" w:rsidRDefault="00945B7E">
                      <w:pPr>
                        <w:rPr>
                          <w:rFonts w:ascii="Calibri" w:hAnsi="Calibri"/>
                          <w:b/>
                          <w:color w:val="FFFFFF" w:themeColor="background1"/>
                          <w:sz w:val="72"/>
                        </w:rPr>
                      </w:pPr>
                    </w:p>
                    <w:p w14:paraId="49A15722" w14:textId="4B8D5445" w:rsidR="00945B7E" w:rsidRDefault="00945B7E">
                      <w:pPr>
                        <w:rPr>
                          <w:rFonts w:ascii="Calibri" w:hAnsi="Calibri"/>
                          <w:b/>
                          <w:color w:val="FFFFFF" w:themeColor="background1"/>
                          <w:sz w:val="72"/>
                        </w:rPr>
                      </w:pPr>
                      <w:r>
                        <w:rPr>
                          <w:rFonts w:ascii="Calibri" w:hAnsi="Calibri"/>
                          <w:b/>
                          <w:color w:val="FFFFFF" w:themeColor="background1"/>
                          <w:sz w:val="72"/>
                        </w:rPr>
                        <w:t>General Information</w:t>
                      </w:r>
                    </w:p>
                    <w:p w14:paraId="07E6B5BC" w14:textId="1694AA61" w:rsidR="00301477" w:rsidRPr="00301477" w:rsidRDefault="00301477">
                      <w:pPr>
                        <w:rPr>
                          <w:rFonts w:ascii="Calibri" w:hAnsi="Calibri"/>
                          <w:b/>
                          <w:color w:val="FFFFFF" w:themeColor="background1"/>
                          <w:sz w:val="36"/>
                          <w:szCs w:val="36"/>
                        </w:rPr>
                      </w:pPr>
                      <w:r w:rsidRPr="00301477">
                        <w:rPr>
                          <w:rFonts w:ascii="Calibri" w:hAnsi="Calibri"/>
                          <w:b/>
                          <w:color w:val="FFFFFF" w:themeColor="background1"/>
                          <w:sz w:val="36"/>
                          <w:szCs w:val="36"/>
                        </w:rPr>
                        <w:t>(</w:t>
                      </w:r>
                      <w:r w:rsidR="0029611C">
                        <w:rPr>
                          <w:rFonts w:ascii="Calibri" w:hAnsi="Calibri"/>
                          <w:b/>
                          <w:color w:val="FFFFFF" w:themeColor="background1"/>
                          <w:sz w:val="36"/>
                          <w:szCs w:val="36"/>
                        </w:rPr>
                        <w:t>05/26/2021</w:t>
                      </w:r>
                      <w:r w:rsidRPr="00301477">
                        <w:rPr>
                          <w:rFonts w:ascii="Calibri" w:hAnsi="Calibri"/>
                          <w:b/>
                          <w:color w:val="FFFFFF" w:themeColor="background1"/>
                          <w:sz w:val="36"/>
                          <w:szCs w:val="36"/>
                        </w:rPr>
                        <w:t>)</w:t>
                      </w:r>
                    </w:p>
                  </w:txbxContent>
                </v:textbox>
                <w10:wrap anchory="page"/>
              </v:shape>
            </w:pict>
          </mc:Fallback>
        </mc:AlternateContent>
      </w:r>
    </w:p>
    <w:p w14:paraId="2AE34A47" w14:textId="77777777" w:rsidR="00945B7E" w:rsidRPr="000F1134" w:rsidRDefault="00484844" w:rsidP="00945B7E">
      <w:pPr>
        <w:spacing w:after="160" w:line="259" w:lineRule="auto"/>
        <w:jc w:val="center"/>
        <w:rPr>
          <w:rFonts w:ascii="Calibri" w:hAnsi="Calibri" w:cs="Calibri"/>
          <w:bCs/>
          <w:sz w:val="36"/>
          <w:szCs w:val="36"/>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945B7E" w:rsidRPr="000F1134">
        <w:rPr>
          <w:rFonts w:ascii="Calibri" w:hAnsi="Calibri" w:cs="Calibri"/>
          <w:b/>
          <w:sz w:val="36"/>
          <w:szCs w:val="36"/>
        </w:rPr>
        <w:lastRenderedPageBreak/>
        <w:t>COVID-19 Testing</w:t>
      </w:r>
    </w:p>
    <w:p w14:paraId="1F529B87" w14:textId="77777777" w:rsidR="00945B7E" w:rsidRPr="000F1134" w:rsidRDefault="00945B7E" w:rsidP="00945B7E">
      <w:pPr>
        <w:spacing w:after="160" w:line="259" w:lineRule="auto"/>
        <w:rPr>
          <w:rFonts w:ascii="Calibri" w:hAnsi="Calibri" w:cs="Calibri"/>
          <w:b/>
          <w:sz w:val="28"/>
          <w:szCs w:val="28"/>
        </w:rPr>
      </w:pPr>
      <w:r w:rsidRPr="000F1134">
        <w:rPr>
          <w:rFonts w:ascii="Calibri" w:hAnsi="Calibri" w:cs="Calibri"/>
          <w:b/>
          <w:sz w:val="28"/>
          <w:szCs w:val="28"/>
        </w:rPr>
        <w:t>Overview and General Information</w:t>
      </w:r>
    </w:p>
    <w:p w14:paraId="3F253D38" w14:textId="77777777" w:rsidR="00945B7E" w:rsidRPr="007869C7" w:rsidRDefault="00945B7E" w:rsidP="00945B7E">
      <w:pPr>
        <w:pStyle w:val="NoSpacing"/>
        <w:rPr>
          <w:rFonts w:ascii="Calibri" w:hAnsi="Calibri" w:cs="Calibri"/>
          <w:sz w:val="24"/>
          <w:szCs w:val="24"/>
        </w:rPr>
      </w:pPr>
      <w:r w:rsidRPr="007869C7">
        <w:rPr>
          <w:rFonts w:ascii="Calibri" w:hAnsi="Calibri" w:cs="Calibri"/>
          <w:sz w:val="24"/>
          <w:szCs w:val="24"/>
        </w:rPr>
        <w:t>The spread of COVID-19 from the community and within the health center is challenging. COVID-19 testing will be an instrumental aspect that will assist facilities in prompt detection of cases in order to implement actions to reduce the exposure and to halt transmission within the facility whenever possible.</w:t>
      </w:r>
    </w:p>
    <w:p w14:paraId="12AA6982" w14:textId="77777777" w:rsidR="00945B7E" w:rsidRPr="007869C7" w:rsidRDefault="00945B7E" w:rsidP="00945B7E">
      <w:pPr>
        <w:pStyle w:val="NoSpacing"/>
        <w:rPr>
          <w:rFonts w:ascii="Calibri" w:hAnsi="Calibri" w:cs="Calibri"/>
          <w:sz w:val="24"/>
          <w:szCs w:val="24"/>
        </w:rPr>
      </w:pPr>
    </w:p>
    <w:p w14:paraId="2E9E63BD" w14:textId="7B10887B" w:rsidR="00945B7E" w:rsidRPr="007869C7" w:rsidRDefault="00945B7E" w:rsidP="00945B7E">
      <w:pPr>
        <w:pStyle w:val="NoSpacing"/>
        <w:rPr>
          <w:rFonts w:ascii="Calibri" w:hAnsi="Calibri" w:cs="Calibri"/>
          <w:sz w:val="24"/>
          <w:szCs w:val="24"/>
        </w:rPr>
      </w:pPr>
      <w:r w:rsidRPr="007869C7">
        <w:rPr>
          <w:rFonts w:ascii="Calibri" w:hAnsi="Calibri" w:cs="Calibri"/>
          <w:sz w:val="24"/>
          <w:szCs w:val="24"/>
        </w:rPr>
        <w:t>The Centers for Medicare &amp; Medicaid Services (CMS) published an interim final rule (</w:t>
      </w:r>
      <w:hyperlink r:id="rId8" w:history="1">
        <w:r w:rsidRPr="007869C7">
          <w:rPr>
            <w:rStyle w:val="Hyperlink"/>
            <w:rFonts w:ascii="Calibri" w:hAnsi="Calibri" w:cs="Calibri"/>
            <w:sz w:val="24"/>
            <w:szCs w:val="24"/>
          </w:rPr>
          <w:t>https://www.cms.gov/medicareprovider-enrollment-and-certificationsurveycertificationgeninfopolicy-and-memos-states-and/interim-final-rule-ifc-cms-3401-ifc-additional-policy-and-regulatory-revisions-response-covid-19</w:t>
        </w:r>
      </w:hyperlink>
      <w:r w:rsidRPr="007869C7">
        <w:rPr>
          <w:rFonts w:ascii="Calibri" w:hAnsi="Calibri" w:cs="Calibri"/>
          <w:sz w:val="24"/>
          <w:szCs w:val="24"/>
        </w:rPr>
        <w:t xml:space="preserve"> ) </w:t>
      </w:r>
      <w:r w:rsidR="0029611C">
        <w:rPr>
          <w:rFonts w:ascii="Calibri" w:hAnsi="Calibri" w:cs="Calibri"/>
          <w:sz w:val="24"/>
          <w:szCs w:val="24"/>
        </w:rPr>
        <w:t xml:space="preserve">on August 26, 2020 and was revised on 04/27/2021 </w:t>
      </w:r>
      <w:r w:rsidRPr="007869C7">
        <w:rPr>
          <w:rFonts w:ascii="Calibri" w:hAnsi="Calibri" w:cs="Calibri"/>
          <w:sz w:val="24"/>
          <w:szCs w:val="24"/>
        </w:rPr>
        <w:t xml:space="preserve">establishing Long-Term Care (LTC) Facility Testing Requirements for Staff and Residents.  </w:t>
      </w:r>
    </w:p>
    <w:p w14:paraId="1FD08983" w14:textId="77777777" w:rsidR="00945B7E" w:rsidRPr="007869C7" w:rsidRDefault="00945B7E" w:rsidP="00945B7E">
      <w:pPr>
        <w:pStyle w:val="NoSpacing"/>
        <w:rPr>
          <w:rFonts w:ascii="Calibri" w:hAnsi="Calibri" w:cs="Calibri"/>
          <w:sz w:val="24"/>
          <w:szCs w:val="24"/>
        </w:rPr>
      </w:pPr>
    </w:p>
    <w:p w14:paraId="1E3819C5" w14:textId="77777777" w:rsidR="00945B7E" w:rsidRPr="007869C7" w:rsidRDefault="00945B7E" w:rsidP="00945B7E">
      <w:pPr>
        <w:pStyle w:val="NoSpacing"/>
        <w:rPr>
          <w:rFonts w:ascii="Calibri" w:hAnsi="Calibri" w:cs="Calibri"/>
          <w:sz w:val="24"/>
          <w:szCs w:val="24"/>
        </w:rPr>
      </w:pPr>
      <w:r w:rsidRPr="007869C7">
        <w:rPr>
          <w:rFonts w:ascii="Calibri" w:hAnsi="Calibri" w:cs="Calibri"/>
          <w:sz w:val="24"/>
          <w:szCs w:val="24"/>
        </w:rPr>
        <w:t>CMS has added a new requirement at F886 COVID-19 Testing to include:</w:t>
      </w:r>
    </w:p>
    <w:p w14:paraId="6941505D" w14:textId="77777777" w:rsidR="00945B7E" w:rsidRPr="007869C7" w:rsidRDefault="00945B7E" w:rsidP="00945B7E">
      <w:pPr>
        <w:pStyle w:val="NoSpacing"/>
        <w:rPr>
          <w:rFonts w:ascii="Calibri" w:hAnsi="Calibri" w:cs="Calibri"/>
          <w:sz w:val="24"/>
          <w:szCs w:val="24"/>
        </w:rPr>
      </w:pPr>
      <w:r w:rsidRPr="007869C7">
        <w:rPr>
          <w:rFonts w:ascii="Calibri" w:hAnsi="Calibri" w:cs="Calibri"/>
          <w:sz w:val="24"/>
          <w:szCs w:val="24"/>
        </w:rPr>
        <w:t xml:space="preserve">“The LTC facility must test residents and facility staff, including individuals providing services under arrangement and volunteers, for COVID-19. At a minimum, for all residents and facility staff, including individuals providing services under arrangement and volunteers, the LTC facility must: </w:t>
      </w:r>
    </w:p>
    <w:p w14:paraId="09B4E9AA" w14:textId="77777777" w:rsidR="00945B7E" w:rsidRPr="007869C7" w:rsidRDefault="00945B7E" w:rsidP="00945B7E">
      <w:pPr>
        <w:pStyle w:val="NoSpacing"/>
        <w:ind w:left="720"/>
        <w:rPr>
          <w:rFonts w:ascii="Calibri" w:hAnsi="Calibri" w:cs="Calibri"/>
          <w:sz w:val="24"/>
          <w:szCs w:val="24"/>
        </w:rPr>
      </w:pPr>
      <w:r w:rsidRPr="007869C7">
        <w:rPr>
          <w:rFonts w:ascii="Calibri" w:hAnsi="Calibri" w:cs="Calibri"/>
          <w:sz w:val="24"/>
          <w:szCs w:val="24"/>
        </w:rPr>
        <w:t xml:space="preserve">(1) Conduct testing based on parameters set forth by the Secretary, including but not limited to: </w:t>
      </w:r>
    </w:p>
    <w:p w14:paraId="7C74C51E" w14:textId="77777777" w:rsidR="00945B7E" w:rsidRPr="007869C7" w:rsidRDefault="00945B7E" w:rsidP="00945B7E">
      <w:pPr>
        <w:pStyle w:val="NoSpacing"/>
        <w:ind w:left="1440"/>
        <w:rPr>
          <w:rFonts w:ascii="Calibri" w:hAnsi="Calibri" w:cs="Calibri"/>
          <w:sz w:val="24"/>
          <w:szCs w:val="24"/>
        </w:rPr>
      </w:pPr>
      <w:r w:rsidRPr="007869C7">
        <w:rPr>
          <w:rFonts w:ascii="Calibri" w:hAnsi="Calibri" w:cs="Calibri"/>
          <w:sz w:val="24"/>
          <w:szCs w:val="24"/>
        </w:rPr>
        <w:t xml:space="preserve">(i) Testing frequency; </w:t>
      </w:r>
    </w:p>
    <w:p w14:paraId="26BB101A" w14:textId="77777777" w:rsidR="00945B7E" w:rsidRPr="007869C7" w:rsidRDefault="00945B7E" w:rsidP="00945B7E">
      <w:pPr>
        <w:pStyle w:val="NoSpacing"/>
        <w:ind w:left="1440"/>
        <w:rPr>
          <w:rFonts w:ascii="Calibri" w:hAnsi="Calibri" w:cs="Calibri"/>
          <w:sz w:val="24"/>
          <w:szCs w:val="24"/>
        </w:rPr>
      </w:pPr>
      <w:r w:rsidRPr="007869C7">
        <w:rPr>
          <w:rFonts w:ascii="Calibri" w:hAnsi="Calibri" w:cs="Calibri"/>
          <w:sz w:val="24"/>
          <w:szCs w:val="24"/>
        </w:rPr>
        <w:t xml:space="preserve">(ii) The identification of any individual specified in this paragraph diagnosed with COVID19 in the facility; </w:t>
      </w:r>
    </w:p>
    <w:p w14:paraId="71658730" w14:textId="77777777" w:rsidR="00945B7E" w:rsidRPr="007869C7" w:rsidRDefault="00945B7E" w:rsidP="00945B7E">
      <w:pPr>
        <w:pStyle w:val="NoSpacing"/>
        <w:ind w:left="1440"/>
        <w:rPr>
          <w:rFonts w:ascii="Calibri" w:hAnsi="Calibri" w:cs="Calibri"/>
          <w:sz w:val="24"/>
          <w:szCs w:val="24"/>
        </w:rPr>
      </w:pPr>
      <w:r w:rsidRPr="007869C7">
        <w:rPr>
          <w:rFonts w:ascii="Calibri" w:hAnsi="Calibri" w:cs="Calibri"/>
          <w:sz w:val="24"/>
          <w:szCs w:val="24"/>
        </w:rPr>
        <w:t xml:space="preserve">(iii) The identification of any individual specified in this paragraph with symptoms consistent with COVID-19 or with known or suspected exposure to COVID-19; </w:t>
      </w:r>
    </w:p>
    <w:p w14:paraId="5F004328" w14:textId="77777777" w:rsidR="00945B7E" w:rsidRPr="007869C7" w:rsidRDefault="00945B7E" w:rsidP="00945B7E">
      <w:pPr>
        <w:pStyle w:val="NoSpacing"/>
        <w:ind w:left="1440"/>
        <w:rPr>
          <w:rFonts w:ascii="Calibri" w:hAnsi="Calibri" w:cs="Calibri"/>
          <w:sz w:val="24"/>
          <w:szCs w:val="24"/>
        </w:rPr>
      </w:pPr>
      <w:r w:rsidRPr="007869C7">
        <w:rPr>
          <w:rFonts w:ascii="Calibri" w:hAnsi="Calibri" w:cs="Calibri"/>
          <w:sz w:val="24"/>
          <w:szCs w:val="24"/>
        </w:rPr>
        <w:t xml:space="preserve">(iv) The criteria for conducting testing of asymptomatic individuals specified in this paragraph, such as the positivity rate of COVID-19 in a county; </w:t>
      </w:r>
    </w:p>
    <w:p w14:paraId="281D4626" w14:textId="77777777" w:rsidR="00945B7E" w:rsidRPr="007869C7" w:rsidRDefault="00945B7E" w:rsidP="00945B7E">
      <w:pPr>
        <w:pStyle w:val="NoSpacing"/>
        <w:ind w:left="1440"/>
        <w:rPr>
          <w:rFonts w:ascii="Calibri" w:hAnsi="Calibri" w:cs="Calibri"/>
          <w:sz w:val="24"/>
          <w:szCs w:val="24"/>
        </w:rPr>
      </w:pPr>
      <w:r w:rsidRPr="007869C7">
        <w:rPr>
          <w:rFonts w:ascii="Calibri" w:hAnsi="Calibri" w:cs="Calibri"/>
          <w:sz w:val="24"/>
          <w:szCs w:val="24"/>
        </w:rPr>
        <w:t xml:space="preserve">(v) The response time for test results; and </w:t>
      </w:r>
    </w:p>
    <w:p w14:paraId="0618F9DF" w14:textId="77777777" w:rsidR="00945B7E" w:rsidRPr="007869C7" w:rsidRDefault="00945B7E" w:rsidP="00945B7E">
      <w:pPr>
        <w:pStyle w:val="NoSpacing"/>
        <w:ind w:left="1440"/>
        <w:rPr>
          <w:rFonts w:ascii="Calibri" w:hAnsi="Calibri" w:cs="Calibri"/>
          <w:sz w:val="24"/>
          <w:szCs w:val="24"/>
        </w:rPr>
      </w:pPr>
      <w:r w:rsidRPr="007869C7">
        <w:rPr>
          <w:rFonts w:ascii="Calibri" w:hAnsi="Calibri" w:cs="Calibri"/>
          <w:sz w:val="24"/>
          <w:szCs w:val="24"/>
        </w:rPr>
        <w:t xml:space="preserve">(vi) Other factors specified by the Secretary that help identify and prevent the transmission of COVID-19. </w:t>
      </w:r>
    </w:p>
    <w:p w14:paraId="0736A03B" w14:textId="77777777" w:rsidR="00945B7E" w:rsidRPr="007869C7" w:rsidRDefault="00945B7E" w:rsidP="00945B7E">
      <w:pPr>
        <w:pStyle w:val="NoSpacing"/>
        <w:ind w:left="720"/>
        <w:rPr>
          <w:rFonts w:ascii="Calibri" w:hAnsi="Calibri" w:cs="Calibri"/>
          <w:sz w:val="24"/>
          <w:szCs w:val="24"/>
        </w:rPr>
      </w:pPr>
      <w:r w:rsidRPr="007869C7">
        <w:rPr>
          <w:rFonts w:ascii="Calibri" w:hAnsi="Calibri" w:cs="Calibri"/>
          <w:sz w:val="24"/>
          <w:szCs w:val="24"/>
        </w:rPr>
        <w:t xml:space="preserve">(2) Conduct testing in a manner that is consistent with current standards of practice for conducting COVID-19 tests; </w:t>
      </w:r>
    </w:p>
    <w:p w14:paraId="55AD9E18" w14:textId="77777777" w:rsidR="00945B7E" w:rsidRPr="007869C7" w:rsidRDefault="00945B7E" w:rsidP="00945B7E">
      <w:pPr>
        <w:pStyle w:val="NoSpacing"/>
        <w:ind w:left="720"/>
        <w:rPr>
          <w:rFonts w:ascii="Calibri" w:hAnsi="Calibri" w:cs="Calibri"/>
          <w:sz w:val="24"/>
          <w:szCs w:val="24"/>
        </w:rPr>
      </w:pPr>
      <w:r w:rsidRPr="007869C7">
        <w:rPr>
          <w:rFonts w:ascii="Calibri" w:hAnsi="Calibri" w:cs="Calibri"/>
          <w:sz w:val="24"/>
          <w:szCs w:val="24"/>
        </w:rPr>
        <w:t xml:space="preserve">(3) For each instance of testing: </w:t>
      </w:r>
    </w:p>
    <w:p w14:paraId="0096F46F" w14:textId="77777777" w:rsidR="00945B7E" w:rsidRPr="007869C7" w:rsidRDefault="00945B7E" w:rsidP="00945B7E">
      <w:pPr>
        <w:pStyle w:val="NoSpacing"/>
        <w:ind w:left="1440"/>
        <w:rPr>
          <w:rFonts w:ascii="Calibri" w:hAnsi="Calibri" w:cs="Calibri"/>
          <w:sz w:val="24"/>
          <w:szCs w:val="24"/>
        </w:rPr>
      </w:pPr>
      <w:r w:rsidRPr="007869C7">
        <w:rPr>
          <w:rFonts w:ascii="Calibri" w:hAnsi="Calibri" w:cs="Calibri"/>
          <w:sz w:val="24"/>
          <w:szCs w:val="24"/>
        </w:rPr>
        <w:t xml:space="preserve">(i) Document that testing was completed and the results of each staff test; and </w:t>
      </w:r>
    </w:p>
    <w:p w14:paraId="3A2C0783" w14:textId="77777777" w:rsidR="00945B7E" w:rsidRPr="007869C7" w:rsidRDefault="00945B7E" w:rsidP="00945B7E">
      <w:pPr>
        <w:pStyle w:val="NoSpacing"/>
        <w:ind w:left="1440"/>
        <w:rPr>
          <w:rFonts w:ascii="Calibri" w:hAnsi="Calibri" w:cs="Calibri"/>
          <w:sz w:val="24"/>
          <w:szCs w:val="24"/>
        </w:rPr>
      </w:pPr>
      <w:r w:rsidRPr="007869C7">
        <w:rPr>
          <w:rFonts w:ascii="Calibri" w:hAnsi="Calibri" w:cs="Calibri"/>
          <w:sz w:val="24"/>
          <w:szCs w:val="24"/>
        </w:rPr>
        <w:t xml:space="preserve">(ii) Document in the resident records that testing was offered, completed (as appropriate to the resident’s testing status), and the results of each test. </w:t>
      </w:r>
    </w:p>
    <w:p w14:paraId="4629077B" w14:textId="77777777" w:rsidR="00945B7E" w:rsidRPr="007869C7" w:rsidRDefault="00945B7E" w:rsidP="00945B7E">
      <w:pPr>
        <w:pStyle w:val="NoSpacing"/>
        <w:ind w:left="720"/>
        <w:rPr>
          <w:rFonts w:ascii="Calibri" w:hAnsi="Calibri" w:cs="Calibri"/>
          <w:sz w:val="24"/>
          <w:szCs w:val="24"/>
        </w:rPr>
      </w:pPr>
      <w:r w:rsidRPr="007869C7">
        <w:rPr>
          <w:rFonts w:ascii="Calibri" w:hAnsi="Calibri" w:cs="Calibri"/>
          <w:sz w:val="24"/>
          <w:szCs w:val="24"/>
        </w:rPr>
        <w:lastRenderedPageBreak/>
        <w:t xml:space="preserve">(4) Upon the identification of an individual specified in this paragraph with symptoms consistent with COVID-19, or who tests positive for COVID-19, take actions to prevent the transmission of COVID-19. </w:t>
      </w:r>
    </w:p>
    <w:p w14:paraId="2035BE60" w14:textId="77777777" w:rsidR="00A23AE0" w:rsidRPr="007869C7" w:rsidRDefault="00A23AE0" w:rsidP="00945B7E">
      <w:pPr>
        <w:pStyle w:val="NoSpacing"/>
        <w:ind w:left="720"/>
        <w:rPr>
          <w:rFonts w:ascii="Calibri" w:hAnsi="Calibri" w:cs="Calibri"/>
          <w:sz w:val="24"/>
          <w:szCs w:val="24"/>
        </w:rPr>
      </w:pPr>
    </w:p>
    <w:p w14:paraId="2F10C54A" w14:textId="15BD74C7" w:rsidR="00945B7E" w:rsidRPr="007869C7" w:rsidRDefault="00945B7E" w:rsidP="00945B7E">
      <w:pPr>
        <w:pStyle w:val="NoSpacing"/>
        <w:ind w:left="720"/>
        <w:rPr>
          <w:rFonts w:ascii="Calibri" w:hAnsi="Calibri" w:cs="Calibri"/>
          <w:sz w:val="24"/>
          <w:szCs w:val="24"/>
        </w:rPr>
      </w:pPr>
      <w:r w:rsidRPr="007869C7">
        <w:rPr>
          <w:rFonts w:ascii="Calibri" w:hAnsi="Calibri" w:cs="Calibri"/>
          <w:sz w:val="24"/>
          <w:szCs w:val="24"/>
        </w:rPr>
        <w:t xml:space="preserve">(5) Have procedures for addressing residents and staff, including individuals providing services under arrangement and volunteers, who refuse testing or are unable to be tested. </w:t>
      </w:r>
    </w:p>
    <w:p w14:paraId="316D65ED" w14:textId="77777777" w:rsidR="00945B7E" w:rsidRPr="007869C7" w:rsidRDefault="00945B7E" w:rsidP="00945B7E">
      <w:pPr>
        <w:pStyle w:val="NoSpacing"/>
        <w:ind w:left="720"/>
        <w:rPr>
          <w:rFonts w:ascii="Calibri" w:hAnsi="Calibri" w:cs="Calibri"/>
          <w:sz w:val="24"/>
          <w:szCs w:val="24"/>
          <w:vertAlign w:val="superscript"/>
        </w:rPr>
      </w:pPr>
      <w:r w:rsidRPr="007869C7">
        <w:rPr>
          <w:rFonts w:ascii="Calibri" w:hAnsi="Calibri" w:cs="Calibri"/>
          <w:sz w:val="24"/>
          <w:szCs w:val="24"/>
        </w:rPr>
        <w:t>(6) When necessary, such as in emergencies due to testing supply shortages, contact state and local health departments to assist in testing efforts, such as obtaining testing supplies or processing test results.”</w:t>
      </w:r>
      <w:r w:rsidRPr="007869C7">
        <w:rPr>
          <w:rFonts w:ascii="Calibri" w:hAnsi="Calibri" w:cs="Calibri"/>
          <w:sz w:val="24"/>
          <w:szCs w:val="24"/>
          <w:vertAlign w:val="superscript"/>
        </w:rPr>
        <w:t>1</w:t>
      </w:r>
    </w:p>
    <w:p w14:paraId="4CEBF7DC" w14:textId="77777777" w:rsidR="00945B7E" w:rsidRPr="007869C7" w:rsidRDefault="00945B7E" w:rsidP="00945B7E">
      <w:pPr>
        <w:pStyle w:val="NoSpacing"/>
        <w:rPr>
          <w:rFonts w:ascii="Calibri" w:hAnsi="Calibri" w:cs="Calibri"/>
          <w:sz w:val="24"/>
          <w:szCs w:val="24"/>
        </w:rPr>
      </w:pPr>
    </w:p>
    <w:p w14:paraId="08AA56F8" w14:textId="77777777" w:rsidR="00EF059B" w:rsidRDefault="00EF059B" w:rsidP="00945B7E">
      <w:pPr>
        <w:pStyle w:val="NoSpacing"/>
        <w:rPr>
          <w:rFonts w:ascii="Calibri" w:hAnsi="Calibri" w:cs="Calibri"/>
          <w:sz w:val="24"/>
          <w:szCs w:val="24"/>
        </w:rPr>
      </w:pPr>
    </w:p>
    <w:p w14:paraId="2A8C10FD" w14:textId="0695C458" w:rsidR="00945B7E" w:rsidRDefault="00945B7E" w:rsidP="00945B7E">
      <w:pPr>
        <w:pStyle w:val="NoSpacing"/>
        <w:rPr>
          <w:rFonts w:ascii="Calibri" w:hAnsi="Calibri" w:cs="Calibri"/>
          <w:sz w:val="24"/>
          <w:szCs w:val="24"/>
          <w:vertAlign w:val="superscript"/>
        </w:rPr>
      </w:pPr>
      <w:r w:rsidRPr="007869C7">
        <w:rPr>
          <w:rFonts w:ascii="Calibri" w:hAnsi="Calibri" w:cs="Calibri"/>
          <w:sz w:val="24"/>
          <w:szCs w:val="24"/>
        </w:rPr>
        <w:t>CMS has indicated that “health</w:t>
      </w:r>
      <w:r w:rsidR="002B7CFC">
        <w:rPr>
          <w:rFonts w:ascii="Calibri" w:hAnsi="Calibri" w:cs="Calibri"/>
          <w:sz w:val="24"/>
          <w:szCs w:val="24"/>
        </w:rPr>
        <w:t xml:space="preserve"> </w:t>
      </w:r>
      <w:r w:rsidRPr="007869C7">
        <w:rPr>
          <w:rFonts w:ascii="Calibri" w:hAnsi="Calibri" w:cs="Calibri"/>
          <w:sz w:val="24"/>
          <w:szCs w:val="24"/>
        </w:rPr>
        <w:t>care facilities using Point of Care COVID-19 testing devices under a CLIA Certificate of Waiver, including nursing homes, pharmacies, or other settings will be required to report test results under this regulation.”</w:t>
      </w:r>
      <w:r w:rsidRPr="007869C7">
        <w:rPr>
          <w:rFonts w:ascii="Calibri" w:hAnsi="Calibri" w:cs="Calibri"/>
          <w:sz w:val="24"/>
          <w:szCs w:val="24"/>
          <w:vertAlign w:val="superscript"/>
        </w:rPr>
        <w:t xml:space="preserve">2 </w:t>
      </w:r>
      <w:r w:rsidRPr="007869C7">
        <w:rPr>
          <w:rFonts w:ascii="Calibri" w:hAnsi="Calibri" w:cs="Calibri"/>
          <w:sz w:val="24"/>
          <w:szCs w:val="24"/>
        </w:rPr>
        <w:t xml:space="preserve"> In addition, CMS indicates, “All CLIA-certified laboratories that perform or analyze any test that is intended to detect SARS</w:t>
      </w:r>
      <w:r w:rsidR="002B7CFC">
        <w:rPr>
          <w:rFonts w:ascii="Calibri" w:hAnsi="Calibri" w:cs="Calibri"/>
          <w:sz w:val="24"/>
          <w:szCs w:val="24"/>
        </w:rPr>
        <w:t>-</w:t>
      </w:r>
      <w:r w:rsidRPr="007869C7">
        <w:rPr>
          <w:rFonts w:ascii="Calibri" w:hAnsi="Calibri" w:cs="Calibri"/>
          <w:sz w:val="24"/>
          <w:szCs w:val="24"/>
        </w:rPr>
        <w:t>CoV-2 or to diagnose a possible case of COVID-19 (e.g., molecular, antigen, antibody) are required to report, regardless of the type of laboratory (type of CLIA certificate) performing the testing.”</w:t>
      </w:r>
      <w:r w:rsidRPr="007869C7">
        <w:rPr>
          <w:rFonts w:ascii="Calibri" w:hAnsi="Calibri" w:cs="Calibri"/>
          <w:sz w:val="24"/>
          <w:szCs w:val="24"/>
          <w:vertAlign w:val="superscript"/>
        </w:rPr>
        <w:t>2</w:t>
      </w:r>
    </w:p>
    <w:p w14:paraId="3939A11E" w14:textId="72E6C926" w:rsidR="00F508E1" w:rsidRDefault="00F508E1" w:rsidP="00945B7E">
      <w:pPr>
        <w:pStyle w:val="NoSpacing"/>
        <w:rPr>
          <w:rFonts w:ascii="Calibri" w:hAnsi="Calibri" w:cs="Calibri"/>
          <w:sz w:val="24"/>
          <w:szCs w:val="24"/>
          <w:vertAlign w:val="superscript"/>
        </w:rPr>
      </w:pPr>
    </w:p>
    <w:p w14:paraId="1ABF9B10" w14:textId="590491B2" w:rsidR="00F508E1" w:rsidRDefault="00F508E1" w:rsidP="00945B7E">
      <w:pPr>
        <w:pStyle w:val="NoSpacing"/>
        <w:rPr>
          <w:rFonts w:ascii="Calibri" w:hAnsi="Calibri" w:cs="Calibri"/>
          <w:sz w:val="24"/>
          <w:szCs w:val="24"/>
        </w:rPr>
      </w:pPr>
      <w:r>
        <w:rPr>
          <w:rFonts w:ascii="Calibri" w:hAnsi="Calibri" w:cs="Calibri"/>
          <w:sz w:val="24"/>
          <w:szCs w:val="24"/>
        </w:rPr>
        <w:t>The Centers for Disease Control and Prevention has updated reporting requirements for SARS-CoV-2 tests</w:t>
      </w:r>
      <w:r w:rsidR="002B7CFC">
        <w:rPr>
          <w:rFonts w:ascii="Calibri" w:hAnsi="Calibri" w:cs="Calibri"/>
          <w:sz w:val="24"/>
          <w:szCs w:val="24"/>
        </w:rPr>
        <w:t>, updated on Jan. 7</w:t>
      </w:r>
      <w:r>
        <w:rPr>
          <w:rFonts w:ascii="Calibri" w:hAnsi="Calibri" w:cs="Calibri"/>
          <w:sz w:val="24"/>
          <w:szCs w:val="24"/>
        </w:rPr>
        <w:t xml:space="preserve">, 2020:  </w:t>
      </w:r>
    </w:p>
    <w:p w14:paraId="271F4470" w14:textId="51281118" w:rsidR="00F508E1" w:rsidRPr="00F508E1" w:rsidRDefault="00F508E1" w:rsidP="00F508E1">
      <w:pPr>
        <w:shd w:val="clear" w:color="auto" w:fill="FFFFFF"/>
        <w:spacing w:afterAutospacing="1"/>
        <w:ind w:left="720"/>
        <w:rPr>
          <w:rFonts w:asciiTheme="minorHAnsi" w:hAnsiTheme="minorHAnsi" w:cstheme="minorHAnsi"/>
          <w:color w:val="000000"/>
          <w:szCs w:val="24"/>
        </w:rPr>
      </w:pPr>
      <w:r>
        <w:rPr>
          <w:rFonts w:asciiTheme="minorHAnsi" w:hAnsiTheme="minorHAnsi" w:cstheme="minorHAnsi"/>
          <w:color w:val="000000"/>
          <w:szCs w:val="24"/>
        </w:rPr>
        <w:t>“</w:t>
      </w:r>
      <w:r w:rsidRPr="00F508E1">
        <w:rPr>
          <w:rFonts w:asciiTheme="minorHAnsi" w:hAnsiTheme="minorHAnsi" w:cstheme="minorHAnsi"/>
          <w:color w:val="000000"/>
          <w:szCs w:val="24"/>
        </w:rPr>
        <w:t>Every COVID-19 testing site is </w:t>
      </w:r>
      <w:hyperlink r:id="rId9" w:history="1">
        <w:r w:rsidRPr="00F508E1">
          <w:rPr>
            <w:rFonts w:asciiTheme="minorHAnsi" w:hAnsiTheme="minorHAnsi" w:cstheme="minorHAnsi"/>
            <w:color w:val="075290"/>
            <w:szCs w:val="24"/>
            <w:u w:val="single"/>
          </w:rPr>
          <w:t>required to report</w:t>
        </w:r>
      </w:hyperlink>
      <w:r w:rsidRPr="00F508E1">
        <w:rPr>
          <w:rFonts w:asciiTheme="minorHAnsi" w:hAnsiTheme="minorHAnsi" w:cstheme="minorHAnsi"/>
          <w:color w:val="000000"/>
          <w:szCs w:val="24"/>
        </w:rPr>
        <w:t> to the appropriate state or local public health department every diagnostic and screening test performed to detect SARS-CoV-2 or to diagnose a possible case of COVID-19. POC testing may be performed with a </w:t>
      </w:r>
      <w:hyperlink r:id="rId10" w:history="1">
        <w:r w:rsidRPr="00F508E1">
          <w:rPr>
            <w:rFonts w:asciiTheme="minorHAnsi" w:hAnsiTheme="minorHAnsi" w:cstheme="minorHAnsi"/>
            <w:color w:val="075290"/>
            <w:szCs w:val="24"/>
            <w:u w:val="single"/>
          </w:rPr>
          <w:t>Clinical Laboratory Improvement Amendments (CLIA)</w:t>
        </w:r>
      </w:hyperlink>
      <w:r w:rsidRPr="00F508E1">
        <w:rPr>
          <w:rFonts w:asciiTheme="minorHAnsi" w:hAnsiTheme="minorHAnsi" w:cstheme="minorHAnsi"/>
          <w:color w:val="000000"/>
          <w:szCs w:val="24"/>
        </w:rPr>
        <w:t xml:space="preserve">  certificate of waiver, but reporting of test results to state or local public health departments are mandated by the Coronavirus Aid, Relief, and Economic Security (CARES) Act.</w:t>
      </w:r>
    </w:p>
    <w:p w14:paraId="75914584" w14:textId="14DE14EE" w:rsidR="00F508E1" w:rsidRPr="00F508E1" w:rsidRDefault="00F508E1" w:rsidP="00F508E1">
      <w:pPr>
        <w:shd w:val="clear" w:color="auto" w:fill="FFFFFF"/>
        <w:spacing w:afterAutospacing="1"/>
        <w:ind w:left="720"/>
        <w:rPr>
          <w:rFonts w:asciiTheme="minorHAnsi" w:hAnsiTheme="minorHAnsi" w:cstheme="minorHAnsi"/>
          <w:color w:val="000000"/>
          <w:szCs w:val="24"/>
          <w:vertAlign w:val="superscript"/>
        </w:rPr>
      </w:pPr>
      <w:r w:rsidRPr="00F508E1">
        <w:rPr>
          <w:rFonts w:asciiTheme="minorHAnsi" w:hAnsiTheme="minorHAnsi" w:cstheme="minorHAnsi"/>
          <w:color w:val="000000"/>
          <w:szCs w:val="24"/>
        </w:rPr>
        <w:t>CMS-certified long-term care facilities may submit point-of-care SARS-CoV-2 testing data, including antigen testing data, to CDC’s National Healthcare Safety Network (NHSN). This CDC- and CMS-preferred pathway to submit data to CDC’s NHSN applies only to CMS-certified long-term care facilities. Test data submitted to NHSN will be reported to appropriate state and local health departments using standard electronic laboratory messages. Other types of LTC facilities may also report testing data in NHSN for self-tracking or to fulfill state or local reporting requirements, if any. While NHSN is the CDC- and CMS-preferred pathway, Medicare and Medicaid-certified LTC facilities may submit data through the other mechanisms described in the Current Methods of Submission section of </w:t>
      </w:r>
      <w:hyperlink r:id="rId11" w:tgtFrame="new" w:history="1">
        <w:r w:rsidRPr="00F508E1">
          <w:rPr>
            <w:rFonts w:asciiTheme="minorHAnsi" w:hAnsiTheme="minorHAnsi" w:cstheme="minorHAnsi"/>
            <w:color w:val="075290"/>
            <w:szCs w:val="24"/>
            <w:u w:val="single"/>
          </w:rPr>
          <w:t>HHS Laboratory Reporting Guidance</w:t>
        </w:r>
      </w:hyperlink>
      <w:r w:rsidRPr="00F508E1">
        <w:rPr>
          <w:rFonts w:asciiTheme="minorHAnsi" w:hAnsiTheme="minorHAnsi" w:cstheme="minorHAnsi"/>
          <w:color w:val="000000"/>
          <w:szCs w:val="24"/>
        </w:rPr>
        <w:t> to meet the reporting requirements.</w:t>
      </w:r>
      <w:r>
        <w:rPr>
          <w:rFonts w:asciiTheme="minorHAnsi" w:hAnsiTheme="minorHAnsi" w:cstheme="minorHAnsi"/>
          <w:color w:val="000000"/>
          <w:szCs w:val="24"/>
        </w:rPr>
        <w:t>”</w:t>
      </w:r>
      <w:r>
        <w:rPr>
          <w:rFonts w:asciiTheme="minorHAnsi" w:hAnsiTheme="minorHAnsi" w:cstheme="minorHAnsi"/>
          <w:color w:val="000000"/>
          <w:szCs w:val="24"/>
          <w:vertAlign w:val="superscript"/>
        </w:rPr>
        <w:t>4</w:t>
      </w:r>
    </w:p>
    <w:p w14:paraId="36960468" w14:textId="77777777" w:rsidR="00F508E1" w:rsidRPr="00F508E1" w:rsidRDefault="00F508E1" w:rsidP="00945B7E">
      <w:pPr>
        <w:pStyle w:val="NoSpacing"/>
        <w:rPr>
          <w:rFonts w:ascii="Calibri" w:hAnsi="Calibri" w:cs="Calibri"/>
          <w:sz w:val="24"/>
          <w:szCs w:val="24"/>
        </w:rPr>
      </w:pPr>
    </w:p>
    <w:p w14:paraId="5A7487D6" w14:textId="4AB41D4F" w:rsidR="00945B7E" w:rsidRPr="007869C7" w:rsidRDefault="00945B7E" w:rsidP="00945B7E">
      <w:pPr>
        <w:pStyle w:val="NoSpacing"/>
        <w:rPr>
          <w:rFonts w:ascii="Calibri" w:hAnsi="Calibri" w:cs="Calibri"/>
          <w:sz w:val="24"/>
          <w:szCs w:val="24"/>
          <w:vertAlign w:val="superscript"/>
        </w:rPr>
      </w:pPr>
      <w:r w:rsidRPr="007869C7">
        <w:rPr>
          <w:rFonts w:ascii="Calibri" w:hAnsi="Calibri" w:cs="Calibri"/>
          <w:sz w:val="24"/>
          <w:szCs w:val="24"/>
        </w:rPr>
        <w:lastRenderedPageBreak/>
        <w:t>Facilities will need to have knowledge regarding the types of testing.  The Centers for Disease Control and Prevention indicates, “</w:t>
      </w:r>
      <w:r w:rsidR="002B7CFC" w:rsidRPr="002B7CFC">
        <w:rPr>
          <w:rFonts w:ascii="Calibri" w:eastAsia="Times New Roman" w:hAnsi="Calibri" w:cs="Calibri"/>
          <w:color w:val="000000"/>
          <w:sz w:val="24"/>
          <w:szCs w:val="24"/>
          <w:shd w:val="clear" w:color="auto" w:fill="FFFFFF"/>
        </w:rPr>
        <w:t>The “gold standard” for clinical diagnostic detection of SARS-CoV-2 remains laboratory-based (moderate- and high-complexity) </w:t>
      </w:r>
      <w:hyperlink r:id="rId12" w:history="1">
        <w:r w:rsidR="002B7CFC" w:rsidRPr="002B7CFC">
          <w:rPr>
            <w:rFonts w:ascii="Calibri" w:eastAsia="Times New Roman" w:hAnsi="Calibri" w:cs="Calibri"/>
            <w:color w:val="075290"/>
            <w:sz w:val="24"/>
            <w:szCs w:val="24"/>
            <w:u w:val="single"/>
            <w:shd w:val="clear" w:color="auto" w:fill="FFFFFF"/>
          </w:rPr>
          <w:t>NAATs</w:t>
        </w:r>
      </w:hyperlink>
      <w:r w:rsidR="002B7CFC" w:rsidRPr="002B7CFC">
        <w:rPr>
          <w:rFonts w:ascii="Calibri" w:eastAsia="Times New Roman" w:hAnsi="Calibri" w:cs="Calibri"/>
          <w:color w:val="000000"/>
          <w:sz w:val="24"/>
          <w:szCs w:val="24"/>
          <w:shd w:val="clear" w:color="auto" w:fill="FFFFFF"/>
        </w:rPr>
        <w:t>. Thus, it may be necessary to confirm an antigen test result with a laboratory-based NAAT, especially if the result of the antigen test is inconsistent with the clinical context.”</w:t>
      </w:r>
      <w:r w:rsidRPr="007869C7">
        <w:rPr>
          <w:rFonts w:ascii="Calibri" w:hAnsi="Calibri" w:cs="Calibri"/>
          <w:sz w:val="24"/>
          <w:szCs w:val="24"/>
          <w:vertAlign w:val="superscript"/>
        </w:rPr>
        <w:t>3</w:t>
      </w:r>
    </w:p>
    <w:p w14:paraId="438BF2FC" w14:textId="77777777" w:rsidR="00945B7E" w:rsidRPr="007869C7" w:rsidRDefault="00945B7E" w:rsidP="00945B7E">
      <w:pPr>
        <w:pStyle w:val="NoSpacing"/>
        <w:rPr>
          <w:rFonts w:ascii="Calibri" w:hAnsi="Calibri" w:cs="Calibri"/>
          <w:sz w:val="24"/>
          <w:szCs w:val="24"/>
        </w:rPr>
      </w:pPr>
      <w:r w:rsidRPr="007869C7">
        <w:rPr>
          <w:rFonts w:ascii="Calibri" w:hAnsi="Calibri" w:cs="Calibri"/>
          <w:sz w:val="24"/>
          <w:szCs w:val="24"/>
        </w:rPr>
        <w:t> </w:t>
      </w:r>
    </w:p>
    <w:p w14:paraId="07809B52" w14:textId="409B605D" w:rsidR="00C450B5" w:rsidRPr="003A280F" w:rsidRDefault="00715D1E" w:rsidP="00945B7E">
      <w:pPr>
        <w:pStyle w:val="NoSpacing"/>
        <w:rPr>
          <w:rFonts w:cstheme="minorHAnsi"/>
          <w:sz w:val="24"/>
          <w:szCs w:val="24"/>
          <w:vertAlign w:val="superscript"/>
        </w:rPr>
      </w:pPr>
      <w:r w:rsidRPr="003A280F">
        <w:rPr>
          <w:rFonts w:cstheme="minorHAnsi"/>
          <w:sz w:val="24"/>
          <w:szCs w:val="24"/>
        </w:rPr>
        <w:t>“</w:t>
      </w:r>
      <w:r w:rsidR="003A280F" w:rsidRPr="003A280F">
        <w:rPr>
          <w:rFonts w:cstheme="minorHAnsi"/>
          <w:color w:val="000000"/>
          <w:sz w:val="24"/>
          <w:szCs w:val="24"/>
          <w:shd w:val="clear" w:color="auto" w:fill="FFFFFF"/>
        </w:rPr>
        <w:t>The clinical performance of diagnostic tests largely depends on the circumstances in which they are used. Both antigen tests and NAATs perform best if the person is tested when their viral load is generally highest. Because antigen tests perform best in symptomatic people and within a certain number of days since symptom onset, antigen tests are used frequently on people who are symptomatic. Antigen tests also may be informative in diagnostic testing situations in which the person has a known exposure to a person with COVID-19</w:t>
      </w:r>
      <w:r w:rsidR="00C450B5" w:rsidRPr="003A280F">
        <w:rPr>
          <w:rFonts w:cstheme="minorHAnsi"/>
          <w:sz w:val="24"/>
          <w:szCs w:val="24"/>
        </w:rPr>
        <w:t>.”</w:t>
      </w:r>
      <w:r w:rsidR="003A280F">
        <w:rPr>
          <w:rFonts w:eastAsia="Times New Roman" w:cstheme="minorHAnsi"/>
          <w:color w:val="000000"/>
          <w:sz w:val="24"/>
          <w:szCs w:val="24"/>
          <w:shd w:val="clear" w:color="auto" w:fill="FFFFFF"/>
          <w:vertAlign w:val="superscript"/>
        </w:rPr>
        <w:t>3</w:t>
      </w:r>
    </w:p>
    <w:p w14:paraId="78648753" w14:textId="11006B40" w:rsidR="00945B7E" w:rsidRPr="007869C7" w:rsidRDefault="00945B7E" w:rsidP="00945B7E">
      <w:pPr>
        <w:pStyle w:val="NoSpacing"/>
        <w:rPr>
          <w:rFonts w:ascii="Calibri" w:hAnsi="Calibri" w:cs="Calibri"/>
          <w:b/>
          <w:bCs/>
          <w:sz w:val="24"/>
          <w:szCs w:val="24"/>
        </w:rPr>
      </w:pPr>
    </w:p>
    <w:p w14:paraId="227CD694" w14:textId="0585A4CE" w:rsidR="00A23AE0" w:rsidRPr="007869C7" w:rsidRDefault="00A23AE0" w:rsidP="00945B7E">
      <w:pPr>
        <w:pStyle w:val="NoSpacing"/>
        <w:rPr>
          <w:rFonts w:ascii="Calibri" w:hAnsi="Calibri" w:cs="Calibri"/>
          <w:sz w:val="24"/>
          <w:szCs w:val="24"/>
        </w:rPr>
      </w:pPr>
      <w:r w:rsidRPr="007869C7">
        <w:rPr>
          <w:rFonts w:ascii="Calibri" w:hAnsi="Calibri" w:cs="Calibri"/>
          <w:sz w:val="24"/>
          <w:szCs w:val="24"/>
        </w:rPr>
        <w:t xml:space="preserve">The Centers for Disease Control and Prevention has provided “Guidance for SARS-CoV-2 Point-of-Care </w:t>
      </w:r>
      <w:r w:rsidR="00A60BDA">
        <w:rPr>
          <w:rFonts w:ascii="Calibri" w:hAnsi="Calibri" w:cs="Calibri"/>
          <w:sz w:val="24"/>
          <w:szCs w:val="24"/>
        </w:rPr>
        <w:t xml:space="preserve">and Rapid </w:t>
      </w:r>
      <w:r w:rsidRPr="007869C7">
        <w:rPr>
          <w:rFonts w:ascii="Calibri" w:hAnsi="Calibri" w:cs="Calibri"/>
          <w:sz w:val="24"/>
          <w:szCs w:val="24"/>
        </w:rPr>
        <w:t xml:space="preserve">Testing, Updated </w:t>
      </w:r>
      <w:r w:rsidR="00A60BDA">
        <w:rPr>
          <w:rFonts w:ascii="Calibri" w:hAnsi="Calibri" w:cs="Calibri"/>
          <w:sz w:val="24"/>
          <w:szCs w:val="24"/>
        </w:rPr>
        <w:t>Mar. 12,</w:t>
      </w:r>
      <w:r w:rsidRPr="007869C7">
        <w:rPr>
          <w:rFonts w:ascii="Calibri" w:hAnsi="Calibri" w:cs="Calibri"/>
          <w:sz w:val="24"/>
          <w:szCs w:val="24"/>
        </w:rPr>
        <w:t xml:space="preserve"> 202</w:t>
      </w:r>
      <w:r w:rsidR="00A60BDA">
        <w:rPr>
          <w:rFonts w:ascii="Calibri" w:hAnsi="Calibri" w:cs="Calibri"/>
          <w:sz w:val="24"/>
          <w:szCs w:val="24"/>
        </w:rPr>
        <w:t xml:space="preserve">1 </w:t>
      </w:r>
      <w:r w:rsidRPr="007869C7">
        <w:rPr>
          <w:rFonts w:ascii="Calibri" w:hAnsi="Calibri" w:cs="Calibri"/>
          <w:sz w:val="24"/>
          <w:szCs w:val="24"/>
        </w:rPr>
        <w:t>(</w:t>
      </w:r>
      <w:hyperlink r:id="rId13" w:history="1">
        <w:r w:rsidRPr="007869C7">
          <w:rPr>
            <w:rStyle w:val="Hyperlink"/>
            <w:rFonts w:ascii="Calibri" w:hAnsi="Calibri" w:cs="Calibri"/>
            <w:sz w:val="24"/>
            <w:szCs w:val="24"/>
          </w:rPr>
          <w:t>https://www.cdc.gov/coronavirus/2019-ncov/lab/point-of-care-testing.html</w:t>
        </w:r>
      </w:hyperlink>
      <w:r w:rsidRPr="007869C7">
        <w:rPr>
          <w:rFonts w:ascii="Calibri" w:hAnsi="Calibri" w:cs="Calibri"/>
          <w:sz w:val="24"/>
          <w:szCs w:val="24"/>
        </w:rPr>
        <w:t xml:space="preserve"> ) that recommends:</w:t>
      </w:r>
    </w:p>
    <w:p w14:paraId="50652332" w14:textId="5789ABCB" w:rsidR="00A23AE0" w:rsidRDefault="00A23AE0" w:rsidP="00A23AE0">
      <w:pPr>
        <w:pStyle w:val="NoSpacing"/>
        <w:numPr>
          <w:ilvl w:val="0"/>
          <w:numId w:val="43"/>
        </w:numPr>
        <w:rPr>
          <w:rFonts w:ascii="Calibri" w:hAnsi="Calibri" w:cs="Calibri"/>
          <w:sz w:val="24"/>
          <w:szCs w:val="24"/>
        </w:rPr>
      </w:pPr>
      <w:r w:rsidRPr="007869C7">
        <w:rPr>
          <w:rFonts w:ascii="Calibri" w:hAnsi="Calibri" w:cs="Calibri"/>
          <w:sz w:val="24"/>
          <w:szCs w:val="24"/>
        </w:rPr>
        <w:t>Performing a risk assessment prior to testing</w:t>
      </w:r>
    </w:p>
    <w:p w14:paraId="579075AB" w14:textId="6F8DCBB4" w:rsidR="00A60BDA" w:rsidRPr="007869C7" w:rsidRDefault="00A60BDA" w:rsidP="00A23AE0">
      <w:pPr>
        <w:pStyle w:val="NoSpacing"/>
        <w:numPr>
          <w:ilvl w:val="0"/>
          <w:numId w:val="43"/>
        </w:numPr>
        <w:rPr>
          <w:rFonts w:ascii="Calibri" w:hAnsi="Calibri" w:cs="Calibri"/>
          <w:sz w:val="24"/>
          <w:szCs w:val="24"/>
        </w:rPr>
      </w:pPr>
      <w:r>
        <w:rPr>
          <w:rFonts w:ascii="Calibri" w:hAnsi="Calibri" w:cs="Calibri"/>
          <w:sz w:val="24"/>
          <w:szCs w:val="24"/>
        </w:rPr>
        <w:t>Use a new pair of gloves every time a specimen is collected</w:t>
      </w:r>
    </w:p>
    <w:p w14:paraId="281E1A45" w14:textId="52BA9728" w:rsidR="0034795D" w:rsidRDefault="00A60BDA" w:rsidP="00A23AE0">
      <w:pPr>
        <w:pStyle w:val="NoSpacing"/>
        <w:numPr>
          <w:ilvl w:val="0"/>
          <w:numId w:val="43"/>
        </w:numPr>
        <w:rPr>
          <w:rFonts w:ascii="Calibri" w:hAnsi="Calibri" w:cs="Calibri"/>
          <w:sz w:val="24"/>
          <w:szCs w:val="24"/>
        </w:rPr>
      </w:pPr>
      <w:r>
        <w:rPr>
          <w:rFonts w:ascii="Calibri" w:hAnsi="Calibri" w:cs="Calibri"/>
          <w:sz w:val="24"/>
          <w:szCs w:val="24"/>
        </w:rPr>
        <w:t>Do not</w:t>
      </w:r>
      <w:r w:rsidR="0034795D">
        <w:rPr>
          <w:rFonts w:ascii="Calibri" w:hAnsi="Calibri" w:cs="Calibri"/>
          <w:sz w:val="24"/>
          <w:szCs w:val="24"/>
        </w:rPr>
        <w:t xml:space="preserve"> reuse of used test devices, tubes, solutions,</w:t>
      </w:r>
      <w:r>
        <w:rPr>
          <w:rFonts w:ascii="Calibri" w:hAnsi="Calibri" w:cs="Calibri"/>
          <w:sz w:val="24"/>
          <w:szCs w:val="24"/>
        </w:rPr>
        <w:t xml:space="preserve"> </w:t>
      </w:r>
      <w:r w:rsidR="0034795D">
        <w:rPr>
          <w:rFonts w:ascii="Calibri" w:hAnsi="Calibri" w:cs="Calibri"/>
          <w:sz w:val="24"/>
          <w:szCs w:val="24"/>
        </w:rPr>
        <w:t>swabs</w:t>
      </w:r>
      <w:r>
        <w:rPr>
          <w:rFonts w:ascii="Calibri" w:hAnsi="Calibri" w:cs="Calibri"/>
          <w:sz w:val="24"/>
          <w:szCs w:val="24"/>
        </w:rPr>
        <w:t>, lancets or fingerstick devices</w:t>
      </w:r>
    </w:p>
    <w:p w14:paraId="1ED68FEE" w14:textId="3EECFF8A" w:rsidR="0034795D" w:rsidRDefault="0034795D" w:rsidP="00A23AE0">
      <w:pPr>
        <w:pStyle w:val="NoSpacing"/>
        <w:numPr>
          <w:ilvl w:val="0"/>
          <w:numId w:val="43"/>
        </w:numPr>
        <w:rPr>
          <w:rFonts w:ascii="Calibri" w:hAnsi="Calibri" w:cs="Calibri"/>
          <w:sz w:val="24"/>
          <w:szCs w:val="24"/>
        </w:rPr>
      </w:pPr>
      <w:r>
        <w:rPr>
          <w:rFonts w:ascii="Calibri" w:hAnsi="Calibri" w:cs="Calibri"/>
          <w:sz w:val="24"/>
          <w:szCs w:val="24"/>
        </w:rPr>
        <w:t>If test or components are beyond the expiration date or damaged/discolored, they should be discarded</w:t>
      </w:r>
    </w:p>
    <w:p w14:paraId="30A175D7" w14:textId="2FE96613" w:rsidR="0034795D" w:rsidRDefault="0034795D" w:rsidP="00A23AE0">
      <w:pPr>
        <w:pStyle w:val="NoSpacing"/>
        <w:numPr>
          <w:ilvl w:val="0"/>
          <w:numId w:val="43"/>
        </w:numPr>
        <w:rPr>
          <w:rFonts w:ascii="Calibri" w:hAnsi="Calibri" w:cs="Calibri"/>
          <w:sz w:val="24"/>
          <w:szCs w:val="24"/>
        </w:rPr>
      </w:pPr>
      <w:r>
        <w:rPr>
          <w:rFonts w:ascii="Calibri" w:hAnsi="Calibri" w:cs="Calibri"/>
          <w:sz w:val="24"/>
          <w:szCs w:val="24"/>
        </w:rPr>
        <w:t>Storage and handling of reagents, specimens, kit contents and devices in accordance with manufacturer’s recommendations</w:t>
      </w:r>
    </w:p>
    <w:p w14:paraId="27FDA5D8" w14:textId="0ED2F80D" w:rsidR="00A60BDA" w:rsidRDefault="00A60BDA" w:rsidP="00A23AE0">
      <w:pPr>
        <w:pStyle w:val="NoSpacing"/>
        <w:numPr>
          <w:ilvl w:val="0"/>
          <w:numId w:val="43"/>
        </w:numPr>
        <w:rPr>
          <w:rFonts w:ascii="Calibri" w:hAnsi="Calibri" w:cs="Calibri"/>
          <w:sz w:val="24"/>
          <w:szCs w:val="24"/>
        </w:rPr>
      </w:pPr>
      <w:r>
        <w:rPr>
          <w:rFonts w:ascii="Calibri" w:hAnsi="Calibri" w:cs="Calibri"/>
          <w:sz w:val="24"/>
          <w:szCs w:val="24"/>
        </w:rPr>
        <w:t>Discard any tests and test components that exceed the expiration date or show signs of damage or discoloration</w:t>
      </w:r>
    </w:p>
    <w:p w14:paraId="4E82D401" w14:textId="799483DC" w:rsidR="00A60BDA" w:rsidRDefault="00A60BDA" w:rsidP="00A23AE0">
      <w:pPr>
        <w:pStyle w:val="NoSpacing"/>
        <w:numPr>
          <w:ilvl w:val="0"/>
          <w:numId w:val="43"/>
        </w:numPr>
        <w:rPr>
          <w:rFonts w:ascii="Calibri" w:hAnsi="Calibri" w:cs="Calibri"/>
          <w:sz w:val="24"/>
          <w:szCs w:val="24"/>
        </w:rPr>
      </w:pPr>
      <w:r>
        <w:rPr>
          <w:rFonts w:ascii="Calibri" w:hAnsi="Calibri" w:cs="Calibri"/>
          <w:sz w:val="24"/>
          <w:szCs w:val="24"/>
        </w:rPr>
        <w:t>Don’t open reagents, test devices and cassettes until ready to test (follow manufacturer’s instructions</w:t>
      </w:r>
    </w:p>
    <w:p w14:paraId="76921743" w14:textId="683DDD94" w:rsidR="00A60BDA" w:rsidRDefault="00A60BDA" w:rsidP="00A23AE0">
      <w:pPr>
        <w:pStyle w:val="NoSpacing"/>
        <w:numPr>
          <w:ilvl w:val="0"/>
          <w:numId w:val="43"/>
        </w:numPr>
        <w:rPr>
          <w:rFonts w:ascii="Calibri" w:hAnsi="Calibri" w:cs="Calibri"/>
          <w:sz w:val="24"/>
          <w:szCs w:val="24"/>
        </w:rPr>
      </w:pPr>
      <w:r>
        <w:rPr>
          <w:rFonts w:ascii="Calibri" w:hAnsi="Calibri" w:cs="Calibri"/>
          <w:sz w:val="24"/>
          <w:szCs w:val="24"/>
        </w:rPr>
        <w:t>Label specimen appropriately to connect specimen with person tested</w:t>
      </w:r>
    </w:p>
    <w:p w14:paraId="286A5F24" w14:textId="4F8D8D78" w:rsidR="00A60BDA" w:rsidRPr="007869C7" w:rsidRDefault="00A60BDA" w:rsidP="00A23AE0">
      <w:pPr>
        <w:pStyle w:val="NoSpacing"/>
        <w:numPr>
          <w:ilvl w:val="0"/>
          <w:numId w:val="43"/>
        </w:numPr>
        <w:rPr>
          <w:rFonts w:ascii="Calibri" w:hAnsi="Calibri" w:cs="Calibri"/>
          <w:sz w:val="24"/>
          <w:szCs w:val="24"/>
        </w:rPr>
      </w:pPr>
      <w:r>
        <w:rPr>
          <w:rFonts w:ascii="Calibri" w:hAnsi="Calibri" w:cs="Calibri"/>
          <w:sz w:val="24"/>
          <w:szCs w:val="24"/>
        </w:rPr>
        <w:t>When transferring specimens from collection area to testing, follow instructions for the POC test used</w:t>
      </w:r>
    </w:p>
    <w:p w14:paraId="4365C1FC" w14:textId="66FBEFE7" w:rsidR="00A23AE0" w:rsidRDefault="00A23AE0" w:rsidP="00A23AE0">
      <w:pPr>
        <w:pStyle w:val="NoSpacing"/>
        <w:numPr>
          <w:ilvl w:val="0"/>
          <w:numId w:val="43"/>
        </w:numPr>
        <w:rPr>
          <w:rFonts w:ascii="Calibri" w:hAnsi="Calibri" w:cs="Calibri"/>
          <w:sz w:val="24"/>
          <w:szCs w:val="24"/>
        </w:rPr>
      </w:pPr>
      <w:r w:rsidRPr="007869C7">
        <w:rPr>
          <w:rFonts w:ascii="Calibri" w:hAnsi="Calibri" w:cs="Calibri"/>
          <w:sz w:val="24"/>
          <w:szCs w:val="24"/>
        </w:rPr>
        <w:t xml:space="preserve">Basic best practice approaches </w:t>
      </w:r>
      <w:r w:rsidR="00A60BDA">
        <w:rPr>
          <w:rFonts w:ascii="Calibri" w:hAnsi="Calibri" w:cs="Calibri"/>
          <w:sz w:val="24"/>
          <w:szCs w:val="24"/>
        </w:rPr>
        <w:t>during</w:t>
      </w:r>
      <w:r w:rsidRPr="007869C7">
        <w:rPr>
          <w:rFonts w:ascii="Calibri" w:hAnsi="Calibri" w:cs="Calibri"/>
          <w:sz w:val="24"/>
          <w:szCs w:val="24"/>
        </w:rPr>
        <w:t xml:space="preserve"> testing</w:t>
      </w:r>
    </w:p>
    <w:p w14:paraId="1DAA9CE4" w14:textId="335EDA83" w:rsidR="00DE484B" w:rsidRDefault="00DE484B" w:rsidP="00DE484B">
      <w:pPr>
        <w:pStyle w:val="NoSpacing"/>
        <w:numPr>
          <w:ilvl w:val="1"/>
          <w:numId w:val="43"/>
        </w:numPr>
        <w:rPr>
          <w:rFonts w:ascii="Calibri" w:hAnsi="Calibri" w:cs="Calibri"/>
          <w:sz w:val="24"/>
          <w:szCs w:val="24"/>
        </w:rPr>
      </w:pPr>
      <w:r>
        <w:rPr>
          <w:rFonts w:ascii="Calibri" w:hAnsi="Calibri" w:cs="Calibri"/>
          <w:sz w:val="24"/>
          <w:szCs w:val="24"/>
        </w:rPr>
        <w:t>Following manufacturer’s recommendation</w:t>
      </w:r>
    </w:p>
    <w:p w14:paraId="58F1AC74" w14:textId="48F26865" w:rsidR="00A60BDA" w:rsidRDefault="00A60BDA" w:rsidP="00DE484B">
      <w:pPr>
        <w:pStyle w:val="NoSpacing"/>
        <w:numPr>
          <w:ilvl w:val="1"/>
          <w:numId w:val="43"/>
        </w:numPr>
        <w:rPr>
          <w:rFonts w:ascii="Calibri" w:hAnsi="Calibri" w:cs="Calibri"/>
          <w:sz w:val="24"/>
          <w:szCs w:val="24"/>
        </w:rPr>
      </w:pPr>
      <w:r>
        <w:rPr>
          <w:rFonts w:ascii="Calibri" w:hAnsi="Calibri" w:cs="Calibri"/>
          <w:sz w:val="24"/>
          <w:szCs w:val="24"/>
        </w:rPr>
        <w:t>Perform quality control and instrument calibration in accordance with the manufacturer’s recommendation</w:t>
      </w:r>
    </w:p>
    <w:p w14:paraId="169BB373" w14:textId="04F1FAE3" w:rsidR="00A60BDA" w:rsidRDefault="00A60BDA" w:rsidP="00A60BDA">
      <w:pPr>
        <w:pStyle w:val="NoSpacing"/>
        <w:numPr>
          <w:ilvl w:val="2"/>
          <w:numId w:val="43"/>
        </w:numPr>
        <w:rPr>
          <w:rFonts w:ascii="Calibri" w:hAnsi="Calibri" w:cs="Calibri"/>
          <w:sz w:val="24"/>
          <w:szCs w:val="24"/>
        </w:rPr>
      </w:pPr>
      <w:r>
        <w:rPr>
          <w:rFonts w:ascii="Calibri" w:hAnsi="Calibri" w:cs="Calibri"/>
          <w:sz w:val="24"/>
          <w:szCs w:val="24"/>
        </w:rPr>
        <w:t>If quality control or calibration fails, correct issues prior to proceeding with resident testing</w:t>
      </w:r>
    </w:p>
    <w:p w14:paraId="61151015" w14:textId="691AC5B2" w:rsidR="00DE484B" w:rsidRDefault="00DE484B" w:rsidP="00DE484B">
      <w:pPr>
        <w:pStyle w:val="NoSpacing"/>
        <w:numPr>
          <w:ilvl w:val="1"/>
          <w:numId w:val="43"/>
        </w:numPr>
        <w:rPr>
          <w:rFonts w:ascii="Calibri" w:hAnsi="Calibri" w:cs="Calibri"/>
          <w:sz w:val="24"/>
          <w:szCs w:val="24"/>
        </w:rPr>
      </w:pPr>
      <w:r>
        <w:rPr>
          <w:rFonts w:ascii="Calibri" w:hAnsi="Calibri" w:cs="Calibri"/>
          <w:sz w:val="24"/>
          <w:szCs w:val="24"/>
        </w:rPr>
        <w:t>Decontamination/disinfection</w:t>
      </w:r>
    </w:p>
    <w:p w14:paraId="431F2E0E" w14:textId="25ACF853" w:rsidR="00DE484B" w:rsidRDefault="00DE484B" w:rsidP="00DE484B">
      <w:pPr>
        <w:pStyle w:val="NoSpacing"/>
        <w:numPr>
          <w:ilvl w:val="1"/>
          <w:numId w:val="43"/>
        </w:numPr>
        <w:rPr>
          <w:rFonts w:ascii="Calibri" w:hAnsi="Calibri" w:cs="Calibri"/>
          <w:sz w:val="24"/>
          <w:szCs w:val="24"/>
        </w:rPr>
      </w:pPr>
      <w:r>
        <w:rPr>
          <w:rFonts w:ascii="Calibri" w:hAnsi="Calibri" w:cs="Calibri"/>
          <w:sz w:val="24"/>
          <w:szCs w:val="24"/>
        </w:rPr>
        <w:t>Follow read and record results times</w:t>
      </w:r>
    </w:p>
    <w:p w14:paraId="77BF5540" w14:textId="4B8054C4" w:rsidR="00DE484B" w:rsidRPr="007869C7" w:rsidRDefault="00DE484B" w:rsidP="00DE484B">
      <w:pPr>
        <w:pStyle w:val="NoSpacing"/>
        <w:numPr>
          <w:ilvl w:val="1"/>
          <w:numId w:val="43"/>
        </w:numPr>
        <w:rPr>
          <w:rFonts w:ascii="Calibri" w:hAnsi="Calibri" w:cs="Calibri"/>
          <w:sz w:val="24"/>
          <w:szCs w:val="24"/>
        </w:rPr>
      </w:pPr>
      <w:r>
        <w:rPr>
          <w:rFonts w:ascii="Calibri" w:hAnsi="Calibri" w:cs="Calibri"/>
          <w:sz w:val="24"/>
          <w:szCs w:val="24"/>
        </w:rPr>
        <w:t>Waste handling</w:t>
      </w:r>
    </w:p>
    <w:p w14:paraId="2F5C8B09" w14:textId="43676E8A" w:rsidR="00A23AE0" w:rsidRPr="007869C7" w:rsidRDefault="00A23AE0" w:rsidP="00A23AE0">
      <w:pPr>
        <w:pStyle w:val="NoSpacing"/>
        <w:numPr>
          <w:ilvl w:val="0"/>
          <w:numId w:val="43"/>
        </w:numPr>
        <w:rPr>
          <w:rFonts w:ascii="Calibri" w:hAnsi="Calibri" w:cs="Calibri"/>
          <w:sz w:val="24"/>
          <w:szCs w:val="24"/>
        </w:rPr>
      </w:pPr>
      <w:r w:rsidRPr="007869C7">
        <w:rPr>
          <w:rFonts w:ascii="Calibri" w:hAnsi="Calibri" w:cs="Calibri"/>
          <w:sz w:val="24"/>
          <w:szCs w:val="24"/>
        </w:rPr>
        <w:t>Tests that can be used for Poin</w:t>
      </w:r>
      <w:r w:rsidR="00667E8B">
        <w:rPr>
          <w:rFonts w:ascii="Calibri" w:hAnsi="Calibri" w:cs="Calibri"/>
          <w:sz w:val="24"/>
          <w:szCs w:val="24"/>
        </w:rPr>
        <w:t>t</w:t>
      </w:r>
      <w:r w:rsidRPr="007869C7">
        <w:rPr>
          <w:rFonts w:ascii="Calibri" w:hAnsi="Calibri" w:cs="Calibri"/>
          <w:sz w:val="24"/>
          <w:szCs w:val="24"/>
        </w:rPr>
        <w:t>-of-Care testing</w:t>
      </w:r>
    </w:p>
    <w:p w14:paraId="6FE2723C" w14:textId="61E749FC" w:rsidR="00A23AE0" w:rsidRPr="007869C7" w:rsidRDefault="00A23AE0" w:rsidP="00A23AE0">
      <w:pPr>
        <w:pStyle w:val="NoSpacing"/>
        <w:numPr>
          <w:ilvl w:val="0"/>
          <w:numId w:val="43"/>
        </w:numPr>
        <w:rPr>
          <w:rFonts w:ascii="Calibri" w:hAnsi="Calibri" w:cs="Calibri"/>
          <w:sz w:val="24"/>
          <w:szCs w:val="24"/>
        </w:rPr>
      </w:pPr>
      <w:r w:rsidRPr="007869C7">
        <w:rPr>
          <w:rFonts w:ascii="Calibri" w:hAnsi="Calibri" w:cs="Calibri"/>
          <w:sz w:val="24"/>
          <w:szCs w:val="24"/>
        </w:rPr>
        <w:lastRenderedPageBreak/>
        <w:t>CLIA Certificate of Waiver requirements</w:t>
      </w:r>
    </w:p>
    <w:p w14:paraId="3889D4A4" w14:textId="4CE77E88" w:rsidR="00A23AE0" w:rsidRDefault="00A23AE0" w:rsidP="00945B7E">
      <w:pPr>
        <w:pStyle w:val="NoSpacing"/>
        <w:numPr>
          <w:ilvl w:val="0"/>
          <w:numId w:val="43"/>
        </w:numPr>
        <w:rPr>
          <w:rFonts w:ascii="Calibri" w:hAnsi="Calibri" w:cs="Calibri"/>
          <w:sz w:val="24"/>
          <w:szCs w:val="24"/>
        </w:rPr>
      </w:pPr>
      <w:r w:rsidRPr="007869C7">
        <w:rPr>
          <w:rFonts w:ascii="Calibri" w:hAnsi="Calibri" w:cs="Calibri"/>
          <w:sz w:val="24"/>
          <w:szCs w:val="24"/>
        </w:rPr>
        <w:t>Reporting Requirements for Point-of Care Testing</w:t>
      </w:r>
    </w:p>
    <w:p w14:paraId="67EE085D" w14:textId="0628AE81" w:rsidR="00A60BDA" w:rsidRPr="00DE484B" w:rsidRDefault="00A60BDA" w:rsidP="00945B7E">
      <w:pPr>
        <w:pStyle w:val="NoSpacing"/>
        <w:numPr>
          <w:ilvl w:val="0"/>
          <w:numId w:val="43"/>
        </w:numPr>
        <w:rPr>
          <w:rFonts w:ascii="Calibri" w:hAnsi="Calibri" w:cs="Calibri"/>
          <w:sz w:val="24"/>
          <w:szCs w:val="24"/>
        </w:rPr>
      </w:pPr>
      <w:r>
        <w:rPr>
          <w:rFonts w:ascii="Calibri" w:hAnsi="Calibri" w:cs="Calibri"/>
          <w:sz w:val="24"/>
          <w:szCs w:val="24"/>
        </w:rPr>
        <w:t>Resources</w:t>
      </w:r>
    </w:p>
    <w:p w14:paraId="5654566A" w14:textId="77777777" w:rsidR="00A23AE0" w:rsidRPr="007869C7" w:rsidRDefault="00A23AE0" w:rsidP="00945B7E">
      <w:pPr>
        <w:pStyle w:val="NoSpacing"/>
        <w:rPr>
          <w:rFonts w:ascii="Calibri" w:hAnsi="Calibri" w:cs="Calibri"/>
          <w:b/>
          <w:bCs/>
          <w:sz w:val="24"/>
          <w:szCs w:val="24"/>
        </w:rPr>
      </w:pPr>
    </w:p>
    <w:p w14:paraId="43A875A9" w14:textId="1AAF68CE" w:rsidR="00945B7E" w:rsidRPr="007869C7" w:rsidRDefault="00945B7E" w:rsidP="00945B7E">
      <w:pPr>
        <w:pStyle w:val="NoSpacing"/>
        <w:rPr>
          <w:rFonts w:ascii="Calibri" w:hAnsi="Calibri" w:cs="Calibri"/>
          <w:b/>
          <w:bCs/>
          <w:sz w:val="24"/>
          <w:szCs w:val="24"/>
        </w:rPr>
      </w:pPr>
      <w:r w:rsidRPr="007869C7">
        <w:rPr>
          <w:rFonts w:ascii="Calibri" w:hAnsi="Calibri" w:cs="Calibri"/>
          <w:b/>
          <w:bCs/>
          <w:sz w:val="24"/>
          <w:szCs w:val="24"/>
        </w:rPr>
        <w:t>Competencies which may be associated with COVID-19 Testing include but are not limited to:</w:t>
      </w:r>
    </w:p>
    <w:p w14:paraId="30B6ADA3" w14:textId="77777777" w:rsidR="00945B7E" w:rsidRPr="007869C7" w:rsidRDefault="00945B7E" w:rsidP="00945B7E">
      <w:pPr>
        <w:pStyle w:val="NoSpacing"/>
        <w:rPr>
          <w:rFonts w:ascii="Calibri" w:hAnsi="Calibri" w:cs="Calibri"/>
          <w:b/>
          <w:bCs/>
          <w:sz w:val="24"/>
          <w:szCs w:val="24"/>
        </w:rPr>
      </w:pPr>
    </w:p>
    <w:p w14:paraId="6B300680" w14:textId="77777777" w:rsidR="00945B7E" w:rsidRPr="007869C7"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 xml:space="preserve">Understanding of COVID-19 Types of Testing </w:t>
      </w:r>
    </w:p>
    <w:p w14:paraId="2C7656DC" w14:textId="77777777" w:rsidR="00945B7E" w:rsidRPr="007869C7"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Proper use of Personal Protective Equipment</w:t>
      </w:r>
    </w:p>
    <w:p w14:paraId="52EF0139" w14:textId="77777777" w:rsidR="00945B7E" w:rsidRPr="007869C7"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Knowledge of proper hand hygiene practices</w:t>
      </w:r>
    </w:p>
    <w:p w14:paraId="360ED69A" w14:textId="77777777" w:rsidR="00945B7E" w:rsidRPr="007869C7"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Specimen Collection</w:t>
      </w:r>
    </w:p>
    <w:p w14:paraId="724BA530" w14:textId="5FD1409E" w:rsidR="00945B7E"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Use of Point-of-Care Antigen Testing Equipment</w:t>
      </w:r>
    </w:p>
    <w:p w14:paraId="79A8DC37" w14:textId="698F015C" w:rsidR="00A60BDA" w:rsidRPr="007869C7" w:rsidRDefault="00A60BDA" w:rsidP="00945B7E">
      <w:pPr>
        <w:pStyle w:val="NoSpacing"/>
        <w:numPr>
          <w:ilvl w:val="0"/>
          <w:numId w:val="39"/>
        </w:numPr>
        <w:rPr>
          <w:rFonts w:ascii="Calibri" w:hAnsi="Calibri" w:cs="Calibri"/>
          <w:sz w:val="24"/>
          <w:szCs w:val="24"/>
        </w:rPr>
      </w:pPr>
      <w:r>
        <w:rPr>
          <w:rFonts w:ascii="Calibri" w:hAnsi="Calibri" w:cs="Calibri"/>
          <w:sz w:val="24"/>
          <w:szCs w:val="24"/>
        </w:rPr>
        <w:t>Quality Control and Calibration of Equipment</w:t>
      </w:r>
    </w:p>
    <w:p w14:paraId="5B0D1B12" w14:textId="77777777" w:rsidR="00945B7E" w:rsidRPr="007869C7"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 xml:space="preserve">Cleaning and Disinfection </w:t>
      </w:r>
    </w:p>
    <w:p w14:paraId="20D46C77" w14:textId="77777777" w:rsidR="00945B7E" w:rsidRPr="007869C7"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Reporting Antigen Testing</w:t>
      </w:r>
    </w:p>
    <w:p w14:paraId="1051CC6D" w14:textId="77777777" w:rsidR="00945B7E" w:rsidRPr="007869C7" w:rsidRDefault="00945B7E" w:rsidP="00945B7E">
      <w:pPr>
        <w:pStyle w:val="NoSpacing"/>
        <w:numPr>
          <w:ilvl w:val="0"/>
          <w:numId w:val="39"/>
        </w:numPr>
        <w:rPr>
          <w:rFonts w:ascii="Calibri" w:hAnsi="Calibri" w:cs="Calibri"/>
          <w:sz w:val="24"/>
          <w:szCs w:val="24"/>
        </w:rPr>
      </w:pPr>
      <w:r w:rsidRPr="007869C7">
        <w:rPr>
          <w:rFonts w:ascii="Calibri" w:hAnsi="Calibri" w:cs="Calibri"/>
          <w:sz w:val="24"/>
          <w:szCs w:val="24"/>
        </w:rPr>
        <w:t>Documentation</w:t>
      </w:r>
    </w:p>
    <w:p w14:paraId="51BB88FB" w14:textId="77777777" w:rsidR="001221F3" w:rsidRPr="007869C7" w:rsidRDefault="001221F3" w:rsidP="00945B7E">
      <w:pPr>
        <w:pStyle w:val="NoSpacing"/>
        <w:rPr>
          <w:rFonts w:ascii="Calibri" w:hAnsi="Calibri" w:cs="Calibri"/>
          <w:b/>
          <w:bCs/>
          <w:sz w:val="24"/>
          <w:szCs w:val="24"/>
        </w:rPr>
      </w:pPr>
    </w:p>
    <w:p w14:paraId="270A5DA6" w14:textId="1B060A08" w:rsidR="00945B7E" w:rsidRPr="007869C7" w:rsidRDefault="00945B7E" w:rsidP="00945B7E">
      <w:pPr>
        <w:pStyle w:val="NoSpacing"/>
        <w:rPr>
          <w:rFonts w:ascii="Calibri" w:hAnsi="Calibri" w:cs="Calibri"/>
          <w:b/>
          <w:bCs/>
          <w:sz w:val="24"/>
          <w:szCs w:val="24"/>
        </w:rPr>
      </w:pPr>
      <w:r w:rsidRPr="007869C7">
        <w:rPr>
          <w:rFonts w:ascii="Calibri" w:hAnsi="Calibri" w:cs="Calibri"/>
          <w:b/>
          <w:bCs/>
          <w:sz w:val="24"/>
          <w:szCs w:val="24"/>
        </w:rPr>
        <w:t>Staff Competencies with COVID-19 Testing include but are not limited to:</w:t>
      </w:r>
    </w:p>
    <w:p w14:paraId="53B771FC" w14:textId="77777777" w:rsidR="00945B7E" w:rsidRPr="007869C7" w:rsidRDefault="00945B7E" w:rsidP="00945B7E">
      <w:pPr>
        <w:pStyle w:val="NoSpacing"/>
        <w:rPr>
          <w:rFonts w:ascii="Calibri" w:hAnsi="Calibri" w:cs="Calibri"/>
          <w:b/>
          <w:bCs/>
          <w:sz w:val="24"/>
          <w:szCs w:val="24"/>
        </w:rPr>
      </w:pPr>
    </w:p>
    <w:p w14:paraId="3F9CB1BB" w14:textId="77777777" w:rsidR="00945B7E" w:rsidRPr="007869C7" w:rsidRDefault="00945B7E" w:rsidP="00945B7E">
      <w:pPr>
        <w:pStyle w:val="NoSpacing"/>
        <w:numPr>
          <w:ilvl w:val="0"/>
          <w:numId w:val="40"/>
        </w:numPr>
        <w:rPr>
          <w:rFonts w:ascii="Calibri" w:hAnsi="Calibri" w:cs="Calibri"/>
          <w:sz w:val="24"/>
          <w:szCs w:val="24"/>
        </w:rPr>
      </w:pPr>
      <w:r w:rsidRPr="007869C7">
        <w:rPr>
          <w:rFonts w:ascii="Calibri" w:hAnsi="Calibri" w:cs="Calibri"/>
          <w:sz w:val="24"/>
          <w:szCs w:val="24"/>
        </w:rPr>
        <w:t>Ability to follow proper hand hygiene practices</w:t>
      </w:r>
    </w:p>
    <w:p w14:paraId="795B1CF6" w14:textId="1541DC9A" w:rsidR="00945B7E" w:rsidRPr="007869C7" w:rsidRDefault="00945B7E" w:rsidP="00945B7E">
      <w:pPr>
        <w:pStyle w:val="NoSpacing"/>
        <w:numPr>
          <w:ilvl w:val="0"/>
          <w:numId w:val="40"/>
        </w:numPr>
        <w:rPr>
          <w:rFonts w:ascii="Calibri" w:hAnsi="Calibri" w:cs="Calibri"/>
          <w:sz w:val="24"/>
          <w:szCs w:val="24"/>
        </w:rPr>
      </w:pPr>
      <w:r w:rsidRPr="007869C7">
        <w:rPr>
          <w:rFonts w:ascii="Calibri" w:hAnsi="Calibri" w:cs="Calibri"/>
          <w:sz w:val="24"/>
          <w:szCs w:val="24"/>
        </w:rPr>
        <w:t xml:space="preserve">Demonstration of ability to properly </w:t>
      </w:r>
      <w:r w:rsidR="00A8152C" w:rsidRPr="007869C7">
        <w:rPr>
          <w:rFonts w:ascii="Calibri" w:hAnsi="Calibri" w:cs="Calibri"/>
          <w:sz w:val="24"/>
          <w:szCs w:val="24"/>
        </w:rPr>
        <w:t xml:space="preserve">select and </w:t>
      </w:r>
      <w:r w:rsidRPr="007869C7">
        <w:rPr>
          <w:rFonts w:ascii="Calibri" w:hAnsi="Calibri" w:cs="Calibri"/>
          <w:sz w:val="24"/>
          <w:szCs w:val="24"/>
        </w:rPr>
        <w:t>don and doff Personal Protective Equipment including proper use, removal, and storage of medical grade face masks</w:t>
      </w:r>
    </w:p>
    <w:p w14:paraId="3772F4E4" w14:textId="77777777" w:rsidR="00945B7E" w:rsidRPr="007869C7" w:rsidRDefault="00945B7E" w:rsidP="00945B7E">
      <w:pPr>
        <w:pStyle w:val="NoSpacing"/>
        <w:numPr>
          <w:ilvl w:val="0"/>
          <w:numId w:val="40"/>
        </w:numPr>
        <w:rPr>
          <w:rFonts w:ascii="Calibri" w:hAnsi="Calibri" w:cs="Calibri"/>
          <w:sz w:val="24"/>
          <w:szCs w:val="24"/>
        </w:rPr>
      </w:pPr>
      <w:r w:rsidRPr="007869C7">
        <w:rPr>
          <w:rFonts w:ascii="Calibri" w:hAnsi="Calibri" w:cs="Calibri"/>
          <w:sz w:val="24"/>
          <w:szCs w:val="24"/>
        </w:rPr>
        <w:t>Demonstration of Specimen Collection</w:t>
      </w:r>
    </w:p>
    <w:p w14:paraId="50299B7B" w14:textId="77777777" w:rsidR="00945B7E" w:rsidRPr="007869C7" w:rsidRDefault="00945B7E" w:rsidP="00945B7E">
      <w:pPr>
        <w:pStyle w:val="NoSpacing"/>
        <w:numPr>
          <w:ilvl w:val="0"/>
          <w:numId w:val="40"/>
        </w:numPr>
        <w:rPr>
          <w:rFonts w:ascii="Calibri" w:hAnsi="Calibri" w:cs="Calibri"/>
          <w:sz w:val="24"/>
          <w:szCs w:val="24"/>
        </w:rPr>
      </w:pPr>
      <w:r w:rsidRPr="007869C7">
        <w:rPr>
          <w:rFonts w:ascii="Calibri" w:hAnsi="Calibri" w:cs="Calibri"/>
          <w:sz w:val="24"/>
          <w:szCs w:val="24"/>
        </w:rPr>
        <w:t>Demonstration of Point-of-Care COVID-19 Antigen testing</w:t>
      </w:r>
    </w:p>
    <w:p w14:paraId="673E908D" w14:textId="77777777" w:rsidR="00945B7E" w:rsidRPr="007869C7" w:rsidRDefault="00945B7E" w:rsidP="00945B7E">
      <w:pPr>
        <w:pStyle w:val="NoSpacing"/>
        <w:numPr>
          <w:ilvl w:val="0"/>
          <w:numId w:val="40"/>
        </w:numPr>
        <w:rPr>
          <w:rFonts w:ascii="Calibri" w:hAnsi="Calibri" w:cs="Calibri"/>
          <w:sz w:val="24"/>
          <w:szCs w:val="24"/>
        </w:rPr>
      </w:pPr>
      <w:r w:rsidRPr="007869C7">
        <w:rPr>
          <w:rFonts w:ascii="Calibri" w:hAnsi="Calibri" w:cs="Calibri"/>
          <w:sz w:val="24"/>
          <w:szCs w:val="24"/>
        </w:rPr>
        <w:t>Ability to describe actions to prevent the transmission of COVID-19 with positive results</w:t>
      </w:r>
    </w:p>
    <w:p w14:paraId="34B02164" w14:textId="66C86702" w:rsidR="00A60BDA" w:rsidRDefault="00A60BDA" w:rsidP="00945B7E">
      <w:pPr>
        <w:pStyle w:val="NoSpacing"/>
        <w:rPr>
          <w:rFonts w:ascii="Calibri" w:hAnsi="Calibri" w:cs="Calibri"/>
          <w:b/>
          <w:bCs/>
          <w:sz w:val="24"/>
          <w:szCs w:val="24"/>
        </w:rPr>
      </w:pPr>
    </w:p>
    <w:p w14:paraId="3124A2F3" w14:textId="77777777" w:rsidR="00A60BDA" w:rsidRDefault="00A60BDA" w:rsidP="00945B7E">
      <w:pPr>
        <w:pStyle w:val="NoSpacing"/>
        <w:rPr>
          <w:rFonts w:ascii="Calibri" w:hAnsi="Calibri" w:cs="Calibri"/>
          <w:b/>
          <w:bCs/>
          <w:sz w:val="24"/>
          <w:szCs w:val="24"/>
        </w:rPr>
      </w:pPr>
    </w:p>
    <w:p w14:paraId="03E22731" w14:textId="77777777" w:rsidR="007869C7" w:rsidRDefault="007869C7" w:rsidP="00945B7E">
      <w:pPr>
        <w:pStyle w:val="NoSpacing"/>
        <w:rPr>
          <w:rFonts w:ascii="Calibri" w:hAnsi="Calibri" w:cs="Calibri"/>
          <w:b/>
          <w:bCs/>
          <w:sz w:val="24"/>
          <w:szCs w:val="24"/>
        </w:rPr>
      </w:pPr>
    </w:p>
    <w:p w14:paraId="285E0E64" w14:textId="6331ADB7" w:rsidR="00945B7E" w:rsidRPr="007869C7" w:rsidRDefault="00945B7E" w:rsidP="00945B7E">
      <w:pPr>
        <w:pStyle w:val="NoSpacing"/>
        <w:rPr>
          <w:rFonts w:ascii="Calibri" w:hAnsi="Calibri" w:cs="Calibri"/>
          <w:b/>
          <w:bCs/>
          <w:sz w:val="24"/>
          <w:szCs w:val="24"/>
        </w:rPr>
      </w:pPr>
      <w:r w:rsidRPr="007869C7">
        <w:rPr>
          <w:rFonts w:ascii="Calibri" w:hAnsi="Calibri" w:cs="Calibri"/>
          <w:b/>
          <w:bCs/>
          <w:sz w:val="24"/>
          <w:szCs w:val="24"/>
        </w:rPr>
        <w:t>References and Resources:</w:t>
      </w:r>
    </w:p>
    <w:p w14:paraId="3B5AE918" w14:textId="77777777" w:rsidR="00945B7E" w:rsidRPr="007869C7" w:rsidRDefault="00945B7E" w:rsidP="00945B7E">
      <w:pPr>
        <w:pStyle w:val="NoSpacing"/>
        <w:rPr>
          <w:rFonts w:ascii="Calibri" w:hAnsi="Calibri" w:cs="Calibri"/>
          <w:sz w:val="24"/>
          <w:szCs w:val="24"/>
        </w:rPr>
      </w:pPr>
    </w:p>
    <w:p w14:paraId="29AD2499" w14:textId="662958EB" w:rsidR="00945B7E" w:rsidRPr="007869C7" w:rsidRDefault="00945B7E" w:rsidP="00945B7E">
      <w:pPr>
        <w:pStyle w:val="NoSpacing"/>
        <w:rPr>
          <w:rFonts w:ascii="Calibri" w:hAnsi="Calibri" w:cs="Calibri"/>
          <w:sz w:val="24"/>
          <w:szCs w:val="24"/>
        </w:rPr>
      </w:pPr>
      <w:r w:rsidRPr="007869C7">
        <w:rPr>
          <w:rFonts w:ascii="Calibri" w:hAnsi="Calibri" w:cs="Calibri"/>
          <w:sz w:val="24"/>
          <w:szCs w:val="24"/>
          <w:vertAlign w:val="superscript"/>
        </w:rPr>
        <w:t>1</w:t>
      </w:r>
      <w:r w:rsidRPr="007869C7">
        <w:rPr>
          <w:rFonts w:ascii="Calibri" w:hAnsi="Calibri" w:cs="Calibri"/>
          <w:sz w:val="24"/>
          <w:szCs w:val="24"/>
        </w:rPr>
        <w:t>Centers for Medicare &amp; Medicaid Services.  Interim Final Rule (IFC), CMS-3401-IFC, Additional Policy and Regulatory Revisions in Response to the COVID-19 Public Health Emergency related to Long-Term Care (LTC) Facility Testing Requirements and Revised COVID19 Focused Survey Tool.  QSO-20-38-NH.  August 26, 2020</w:t>
      </w:r>
      <w:r w:rsidR="00A60BDA">
        <w:rPr>
          <w:rFonts w:ascii="Calibri" w:hAnsi="Calibri" w:cs="Calibri"/>
          <w:sz w:val="24"/>
          <w:szCs w:val="24"/>
        </w:rPr>
        <w:t>, Revised 04/27/2021</w:t>
      </w:r>
      <w:r w:rsidRPr="007869C7">
        <w:rPr>
          <w:rFonts w:ascii="Calibri" w:hAnsi="Calibri" w:cs="Calibri"/>
          <w:sz w:val="24"/>
          <w:szCs w:val="24"/>
        </w:rPr>
        <w:t xml:space="preserve">:  </w:t>
      </w:r>
      <w:hyperlink r:id="rId14" w:history="1">
        <w:r w:rsidRPr="007869C7">
          <w:rPr>
            <w:rStyle w:val="Hyperlink"/>
            <w:rFonts w:ascii="Calibri" w:hAnsi="Calibri" w:cs="Calibri"/>
            <w:sz w:val="24"/>
            <w:szCs w:val="24"/>
          </w:rPr>
          <w:t>https://www.cms.gov/files/document/qso-20-38-nh.pdf</w:t>
        </w:r>
      </w:hyperlink>
    </w:p>
    <w:p w14:paraId="7261C41E" w14:textId="77777777" w:rsidR="00945B7E" w:rsidRPr="007869C7" w:rsidRDefault="00945B7E" w:rsidP="00945B7E">
      <w:pPr>
        <w:pStyle w:val="NoSpacing"/>
        <w:rPr>
          <w:rFonts w:ascii="Calibri" w:hAnsi="Calibri" w:cs="Calibri"/>
          <w:sz w:val="24"/>
          <w:szCs w:val="24"/>
        </w:rPr>
      </w:pPr>
    </w:p>
    <w:p w14:paraId="2BAD9821" w14:textId="77777777" w:rsidR="00945B7E" w:rsidRPr="007869C7" w:rsidRDefault="00945B7E" w:rsidP="00945B7E">
      <w:pPr>
        <w:pStyle w:val="NoSpacing"/>
        <w:rPr>
          <w:rFonts w:ascii="Calibri" w:hAnsi="Calibri" w:cs="Calibri"/>
          <w:sz w:val="24"/>
          <w:szCs w:val="24"/>
        </w:rPr>
      </w:pPr>
      <w:r w:rsidRPr="007869C7">
        <w:rPr>
          <w:rFonts w:ascii="Calibri" w:hAnsi="Calibri" w:cs="Calibri"/>
          <w:sz w:val="24"/>
          <w:szCs w:val="24"/>
          <w:vertAlign w:val="superscript"/>
        </w:rPr>
        <w:t>2</w:t>
      </w:r>
      <w:r w:rsidRPr="007869C7">
        <w:rPr>
          <w:rFonts w:ascii="Calibri" w:hAnsi="Calibri" w:cs="Calibri"/>
          <w:sz w:val="24"/>
          <w:szCs w:val="24"/>
        </w:rPr>
        <w:t xml:space="preserve"> Centers for Medicare &amp; Medicaid Services.  Interim Final Rule (IFC), CMS-3401-IFC, Updating Requirements for Reporting of SARS-CoV-2 Test Results by Clinical Laboratory Improvement Amendments of 1988 (CLIA) Laboratories, and Additional Policy and Regulatory Revisions in Response to the COVID-19 Public Health Emergency.  QSO-20-37-CLIA, NH.  August 26, 2020:  </w:t>
      </w:r>
      <w:hyperlink r:id="rId15" w:history="1">
        <w:r w:rsidRPr="007869C7">
          <w:rPr>
            <w:rStyle w:val="Hyperlink"/>
            <w:rFonts w:ascii="Calibri" w:hAnsi="Calibri" w:cs="Calibri"/>
            <w:sz w:val="24"/>
            <w:szCs w:val="24"/>
          </w:rPr>
          <w:t>https://www.cms.gov/files/document/qso-20-37-clianh.pdf</w:t>
        </w:r>
      </w:hyperlink>
      <w:r w:rsidRPr="007869C7">
        <w:rPr>
          <w:rFonts w:ascii="Calibri" w:hAnsi="Calibri" w:cs="Calibri"/>
          <w:sz w:val="24"/>
          <w:szCs w:val="24"/>
        </w:rPr>
        <w:t xml:space="preserve"> </w:t>
      </w:r>
    </w:p>
    <w:p w14:paraId="3DB1ECC0" w14:textId="77777777" w:rsidR="00945B7E" w:rsidRPr="007869C7" w:rsidRDefault="00945B7E" w:rsidP="00945B7E">
      <w:pPr>
        <w:pStyle w:val="NoSpacing"/>
        <w:rPr>
          <w:rFonts w:ascii="Calibri" w:hAnsi="Calibri" w:cs="Calibri"/>
          <w:sz w:val="24"/>
          <w:szCs w:val="24"/>
        </w:rPr>
      </w:pPr>
    </w:p>
    <w:p w14:paraId="6DD45584" w14:textId="0CC75DC5" w:rsidR="00945B7E" w:rsidRPr="007869C7" w:rsidRDefault="0034795D" w:rsidP="00945B7E">
      <w:pPr>
        <w:pStyle w:val="NoSpacing"/>
        <w:rPr>
          <w:rFonts w:ascii="Calibri" w:hAnsi="Calibri" w:cs="Calibri"/>
          <w:sz w:val="24"/>
          <w:szCs w:val="24"/>
        </w:rPr>
      </w:pPr>
      <w:r>
        <w:rPr>
          <w:rFonts w:ascii="Calibri" w:hAnsi="Calibri" w:cs="Calibri"/>
          <w:sz w:val="24"/>
          <w:szCs w:val="24"/>
          <w:vertAlign w:val="superscript"/>
        </w:rPr>
        <w:lastRenderedPageBreak/>
        <w:t>3</w:t>
      </w:r>
      <w:r w:rsidR="00945B7E" w:rsidRPr="007869C7">
        <w:rPr>
          <w:rFonts w:ascii="Calibri" w:hAnsi="Calibri" w:cs="Calibri"/>
          <w:sz w:val="24"/>
          <w:szCs w:val="24"/>
        </w:rPr>
        <w:t xml:space="preserve">Centers for Disease Control and Prevention.  Interim Guidance for Antigen Testing for SARS-CoV-2.  </w:t>
      </w:r>
      <w:r w:rsidR="002B7CFC">
        <w:rPr>
          <w:rFonts w:ascii="Calibri" w:hAnsi="Calibri" w:cs="Calibri"/>
          <w:sz w:val="24"/>
          <w:szCs w:val="24"/>
        </w:rPr>
        <w:t>Updated May 13</w:t>
      </w:r>
      <w:r w:rsidR="00945B7E" w:rsidRPr="007869C7">
        <w:rPr>
          <w:rFonts w:ascii="Calibri" w:hAnsi="Calibri" w:cs="Calibri"/>
          <w:sz w:val="24"/>
          <w:szCs w:val="24"/>
        </w:rPr>
        <w:t>, 202</w:t>
      </w:r>
      <w:r w:rsidR="002B7CFC">
        <w:rPr>
          <w:rFonts w:ascii="Calibri" w:hAnsi="Calibri" w:cs="Calibri"/>
          <w:sz w:val="24"/>
          <w:szCs w:val="24"/>
        </w:rPr>
        <w:t>1</w:t>
      </w:r>
      <w:r w:rsidR="00945B7E" w:rsidRPr="007869C7">
        <w:rPr>
          <w:rFonts w:ascii="Calibri" w:hAnsi="Calibri" w:cs="Calibri"/>
          <w:sz w:val="24"/>
          <w:szCs w:val="24"/>
        </w:rPr>
        <w:t xml:space="preserve">:  </w:t>
      </w:r>
      <w:hyperlink r:id="rId16" w:history="1">
        <w:r w:rsidR="00945B7E" w:rsidRPr="007869C7">
          <w:rPr>
            <w:rStyle w:val="Hyperlink"/>
            <w:rFonts w:ascii="Calibri" w:hAnsi="Calibri" w:cs="Calibri"/>
            <w:sz w:val="24"/>
            <w:szCs w:val="24"/>
          </w:rPr>
          <w:t>https://www.cdc.gov/coronavirus/2019-ncov/lab/resources/antigen-tests-guidelines.html</w:t>
        </w:r>
      </w:hyperlink>
      <w:r w:rsidR="00945B7E" w:rsidRPr="007869C7">
        <w:rPr>
          <w:rFonts w:ascii="Calibri" w:hAnsi="Calibri" w:cs="Calibri"/>
          <w:sz w:val="24"/>
          <w:szCs w:val="24"/>
        </w:rPr>
        <w:t xml:space="preserve"> </w:t>
      </w:r>
    </w:p>
    <w:p w14:paraId="69337CFE" w14:textId="77777777" w:rsidR="00945B7E" w:rsidRPr="007869C7" w:rsidRDefault="00945B7E" w:rsidP="00945B7E">
      <w:pPr>
        <w:pStyle w:val="NoSpacing"/>
        <w:rPr>
          <w:rFonts w:ascii="Calibri" w:hAnsi="Calibri" w:cs="Calibri"/>
          <w:sz w:val="24"/>
          <w:szCs w:val="24"/>
        </w:rPr>
      </w:pPr>
    </w:p>
    <w:p w14:paraId="774F1AF9" w14:textId="657033D0" w:rsidR="00945B7E" w:rsidRDefault="0034795D" w:rsidP="00945B7E">
      <w:pPr>
        <w:pStyle w:val="NoSpacing"/>
        <w:rPr>
          <w:rFonts w:ascii="Calibri" w:hAnsi="Calibri" w:cs="Calibri"/>
          <w:sz w:val="24"/>
          <w:szCs w:val="24"/>
        </w:rPr>
      </w:pPr>
      <w:r>
        <w:rPr>
          <w:rFonts w:ascii="Calibri" w:hAnsi="Calibri" w:cs="Calibri"/>
          <w:sz w:val="24"/>
          <w:szCs w:val="24"/>
          <w:vertAlign w:val="superscript"/>
        </w:rPr>
        <w:t>4</w:t>
      </w:r>
      <w:r w:rsidR="00945B7E" w:rsidRPr="007869C7">
        <w:rPr>
          <w:rFonts w:ascii="Calibri" w:hAnsi="Calibri" w:cs="Calibri"/>
          <w:sz w:val="24"/>
          <w:szCs w:val="24"/>
        </w:rPr>
        <w:t xml:space="preserve">Centers for Disease Control </w:t>
      </w:r>
      <w:r w:rsidR="004972C3" w:rsidRPr="007869C7">
        <w:rPr>
          <w:rFonts w:ascii="Calibri" w:hAnsi="Calibri" w:cs="Calibri"/>
          <w:sz w:val="24"/>
          <w:szCs w:val="24"/>
        </w:rPr>
        <w:t xml:space="preserve">and </w:t>
      </w:r>
      <w:r w:rsidR="00945B7E" w:rsidRPr="007869C7">
        <w:rPr>
          <w:rFonts w:ascii="Calibri" w:hAnsi="Calibri" w:cs="Calibri"/>
          <w:sz w:val="24"/>
          <w:szCs w:val="24"/>
        </w:rPr>
        <w:t xml:space="preserve">Prevention.  SARS-CoV-2 Antigen Testing in </w:t>
      </w:r>
      <w:r w:rsidR="003A280F">
        <w:rPr>
          <w:rFonts w:ascii="Calibri" w:hAnsi="Calibri" w:cs="Calibri"/>
          <w:sz w:val="24"/>
          <w:szCs w:val="24"/>
        </w:rPr>
        <w:t>Long Term Care Facilities</w:t>
      </w:r>
      <w:r w:rsidR="00945B7E" w:rsidRPr="007869C7">
        <w:rPr>
          <w:rFonts w:ascii="Calibri" w:hAnsi="Calibri" w:cs="Calibri"/>
          <w:sz w:val="24"/>
          <w:szCs w:val="24"/>
        </w:rPr>
        <w:t>.</w:t>
      </w:r>
      <w:r w:rsidR="003A280F">
        <w:rPr>
          <w:rFonts w:ascii="Calibri" w:hAnsi="Calibri" w:cs="Calibri"/>
          <w:sz w:val="24"/>
          <w:szCs w:val="24"/>
        </w:rPr>
        <w:t xml:space="preserve">  Updated Jan. 7, 2021:</w:t>
      </w:r>
      <w:r w:rsidR="00945B7E" w:rsidRPr="007869C7">
        <w:rPr>
          <w:rFonts w:ascii="Calibri" w:hAnsi="Calibri" w:cs="Calibri"/>
          <w:sz w:val="24"/>
          <w:szCs w:val="24"/>
        </w:rPr>
        <w:t xml:space="preserve">  </w:t>
      </w:r>
      <w:hyperlink r:id="rId17" w:history="1">
        <w:r w:rsidR="00945B7E" w:rsidRPr="007869C7">
          <w:rPr>
            <w:rStyle w:val="Hyperlink"/>
            <w:rFonts w:ascii="Calibri" w:hAnsi="Calibri" w:cs="Calibri"/>
            <w:sz w:val="24"/>
            <w:szCs w:val="24"/>
          </w:rPr>
          <w:t>https://www.cdc.gov/coronavirus/2019-ncov/hcp/nursing-homes-antigen-testing.html</w:t>
        </w:r>
      </w:hyperlink>
      <w:r w:rsidR="00945B7E" w:rsidRPr="007869C7">
        <w:rPr>
          <w:rFonts w:ascii="Calibri" w:hAnsi="Calibri" w:cs="Calibri"/>
          <w:sz w:val="24"/>
          <w:szCs w:val="24"/>
        </w:rPr>
        <w:t xml:space="preserve"> </w:t>
      </w:r>
    </w:p>
    <w:p w14:paraId="35026BB9" w14:textId="77777777" w:rsidR="003A280F" w:rsidRPr="007869C7" w:rsidRDefault="003A280F" w:rsidP="003A280F">
      <w:pPr>
        <w:pStyle w:val="NoSpacing"/>
        <w:rPr>
          <w:rFonts w:ascii="Calibri" w:hAnsi="Calibri" w:cs="Calibri"/>
          <w:b/>
          <w:bCs/>
          <w:sz w:val="24"/>
          <w:szCs w:val="24"/>
        </w:rPr>
      </w:pPr>
    </w:p>
    <w:p w14:paraId="38EB5E44" w14:textId="77777777" w:rsidR="003A280F" w:rsidRPr="007869C7" w:rsidRDefault="003A280F" w:rsidP="003A280F">
      <w:pPr>
        <w:pStyle w:val="NoSpacing"/>
        <w:rPr>
          <w:rFonts w:ascii="Calibri" w:hAnsi="Calibri" w:cs="Calibri"/>
          <w:sz w:val="24"/>
          <w:szCs w:val="24"/>
        </w:rPr>
      </w:pPr>
      <w:r w:rsidRPr="007869C7">
        <w:rPr>
          <w:rFonts w:ascii="Calibri" w:hAnsi="Calibri" w:cs="Calibri"/>
          <w:sz w:val="24"/>
          <w:szCs w:val="24"/>
        </w:rPr>
        <w:t xml:space="preserve">Centers for Disease Control and Prevention.  </w:t>
      </w:r>
      <w:r>
        <w:rPr>
          <w:rFonts w:ascii="Calibri" w:hAnsi="Calibri" w:cs="Calibri"/>
          <w:sz w:val="24"/>
          <w:szCs w:val="24"/>
        </w:rPr>
        <w:t>Interim Infection Prevention and Control Recommendations to Prevent SARS-CoV-2 Spread</w:t>
      </w:r>
      <w:r w:rsidRPr="007869C7">
        <w:rPr>
          <w:rFonts w:ascii="Calibri" w:hAnsi="Calibri" w:cs="Calibri"/>
          <w:sz w:val="24"/>
          <w:szCs w:val="24"/>
        </w:rPr>
        <w:t xml:space="preserve"> in Nursing Homes</w:t>
      </w:r>
      <w:r>
        <w:rPr>
          <w:rFonts w:ascii="Calibri" w:hAnsi="Calibri" w:cs="Calibri"/>
          <w:sz w:val="24"/>
          <w:szCs w:val="24"/>
        </w:rPr>
        <w:t>, Updated Mar. 29</w:t>
      </w:r>
      <w:r w:rsidRPr="007869C7">
        <w:rPr>
          <w:rFonts w:ascii="Calibri" w:hAnsi="Calibri" w:cs="Calibri"/>
          <w:sz w:val="24"/>
          <w:szCs w:val="24"/>
        </w:rPr>
        <w:t>, 202</w:t>
      </w:r>
      <w:r>
        <w:rPr>
          <w:rFonts w:ascii="Calibri" w:hAnsi="Calibri" w:cs="Calibri"/>
          <w:sz w:val="24"/>
          <w:szCs w:val="24"/>
        </w:rPr>
        <w:t>1</w:t>
      </w:r>
      <w:r w:rsidRPr="007869C7">
        <w:rPr>
          <w:rFonts w:ascii="Calibri" w:hAnsi="Calibri" w:cs="Calibri"/>
          <w:sz w:val="24"/>
          <w:szCs w:val="24"/>
        </w:rPr>
        <w:t xml:space="preserve">; </w:t>
      </w:r>
      <w:hyperlink r:id="rId18" w:history="1">
        <w:r w:rsidRPr="007869C7">
          <w:rPr>
            <w:rStyle w:val="Hyperlink"/>
            <w:rFonts w:ascii="Calibri" w:hAnsi="Calibri" w:cs="Calibri"/>
            <w:sz w:val="24"/>
            <w:szCs w:val="24"/>
          </w:rPr>
          <w:t>https://cdc.gov/coronavirus/2019-ncov/hcp/long-term-care.html</w:t>
        </w:r>
      </w:hyperlink>
      <w:r w:rsidRPr="007869C7">
        <w:rPr>
          <w:rFonts w:ascii="Calibri" w:hAnsi="Calibri" w:cs="Calibri"/>
          <w:sz w:val="24"/>
          <w:szCs w:val="24"/>
        </w:rPr>
        <w:t xml:space="preserve"> </w:t>
      </w:r>
    </w:p>
    <w:p w14:paraId="701F035F" w14:textId="70D134B1" w:rsidR="00A23AE0" w:rsidRPr="007869C7" w:rsidRDefault="00A23AE0" w:rsidP="00945B7E">
      <w:pPr>
        <w:pStyle w:val="NoSpacing"/>
        <w:rPr>
          <w:rFonts w:ascii="Calibri" w:hAnsi="Calibri" w:cs="Calibri"/>
          <w:sz w:val="24"/>
          <w:szCs w:val="24"/>
        </w:rPr>
      </w:pPr>
    </w:p>
    <w:p w14:paraId="24DF5AC5" w14:textId="6E18B63B" w:rsidR="00A23AE0" w:rsidRPr="007869C7" w:rsidRDefault="00A23AE0" w:rsidP="00945B7E">
      <w:pPr>
        <w:pStyle w:val="NoSpacing"/>
        <w:rPr>
          <w:rFonts w:ascii="Calibri" w:hAnsi="Calibri" w:cs="Calibri"/>
          <w:sz w:val="24"/>
          <w:szCs w:val="24"/>
        </w:rPr>
      </w:pPr>
      <w:r w:rsidRPr="007869C7">
        <w:rPr>
          <w:rFonts w:ascii="Calibri" w:hAnsi="Calibri" w:cs="Calibri"/>
          <w:sz w:val="24"/>
          <w:szCs w:val="24"/>
        </w:rPr>
        <w:t>Centers for Disease Control and Prevention.  Guidance for SARS-CoV-2 Point-of-Care</w:t>
      </w:r>
      <w:r w:rsidR="00A60BDA">
        <w:rPr>
          <w:rFonts w:ascii="Calibri" w:hAnsi="Calibri" w:cs="Calibri"/>
          <w:sz w:val="24"/>
          <w:szCs w:val="24"/>
        </w:rPr>
        <w:t xml:space="preserve"> and Rapid</w:t>
      </w:r>
      <w:r w:rsidRPr="007869C7">
        <w:rPr>
          <w:rFonts w:ascii="Calibri" w:hAnsi="Calibri" w:cs="Calibri"/>
          <w:sz w:val="24"/>
          <w:szCs w:val="24"/>
        </w:rPr>
        <w:t xml:space="preserve"> Testing.  Updated </w:t>
      </w:r>
      <w:r w:rsidR="00E814A1">
        <w:rPr>
          <w:rFonts w:ascii="Calibri" w:hAnsi="Calibri" w:cs="Calibri"/>
          <w:sz w:val="24"/>
          <w:szCs w:val="24"/>
        </w:rPr>
        <w:t>Mar. 12</w:t>
      </w:r>
      <w:r w:rsidRPr="007869C7">
        <w:rPr>
          <w:rFonts w:ascii="Calibri" w:hAnsi="Calibri" w:cs="Calibri"/>
          <w:sz w:val="24"/>
          <w:szCs w:val="24"/>
        </w:rPr>
        <w:t>, 202</w:t>
      </w:r>
      <w:r w:rsidR="00E814A1">
        <w:rPr>
          <w:rFonts w:ascii="Calibri" w:hAnsi="Calibri" w:cs="Calibri"/>
          <w:sz w:val="24"/>
          <w:szCs w:val="24"/>
        </w:rPr>
        <w:t>1</w:t>
      </w:r>
      <w:r w:rsidRPr="007869C7">
        <w:rPr>
          <w:rFonts w:ascii="Calibri" w:hAnsi="Calibri" w:cs="Calibri"/>
          <w:sz w:val="24"/>
          <w:szCs w:val="24"/>
        </w:rPr>
        <w:t xml:space="preserve">:  </w:t>
      </w:r>
      <w:hyperlink r:id="rId19" w:history="1">
        <w:r w:rsidRPr="007869C7">
          <w:rPr>
            <w:rStyle w:val="Hyperlink"/>
            <w:rFonts w:ascii="Calibri" w:hAnsi="Calibri" w:cs="Calibri"/>
            <w:sz w:val="24"/>
            <w:szCs w:val="24"/>
          </w:rPr>
          <w:t>https://www.cdc.gov/coronavirus/2019-ncov/lab/point-of-care-testing.html</w:t>
        </w:r>
      </w:hyperlink>
      <w:r w:rsidRPr="007869C7">
        <w:rPr>
          <w:rFonts w:ascii="Calibri" w:hAnsi="Calibri" w:cs="Calibri"/>
          <w:sz w:val="24"/>
          <w:szCs w:val="24"/>
        </w:rPr>
        <w:t xml:space="preserve"> </w:t>
      </w:r>
    </w:p>
    <w:p w14:paraId="5391BCE1" w14:textId="37E6640E" w:rsidR="007F4486" w:rsidRPr="007869C7" w:rsidRDefault="007F4486" w:rsidP="00945B7E">
      <w:pPr>
        <w:pStyle w:val="NoSpacing"/>
        <w:rPr>
          <w:rFonts w:ascii="Calibri" w:hAnsi="Calibri" w:cs="Calibri"/>
          <w:sz w:val="24"/>
          <w:szCs w:val="24"/>
        </w:rPr>
      </w:pPr>
    </w:p>
    <w:p w14:paraId="1C99383E" w14:textId="2F729267" w:rsidR="007F4486" w:rsidRPr="007869C7" w:rsidRDefault="007F4486" w:rsidP="00945B7E">
      <w:pPr>
        <w:pStyle w:val="NoSpacing"/>
        <w:rPr>
          <w:rFonts w:ascii="Calibri" w:hAnsi="Calibri" w:cs="Calibri"/>
          <w:color w:val="0000FF"/>
          <w:sz w:val="24"/>
          <w:szCs w:val="24"/>
          <w:u w:val="single"/>
        </w:rPr>
      </w:pPr>
      <w:r w:rsidRPr="007869C7">
        <w:rPr>
          <w:rFonts w:ascii="Calibri" w:hAnsi="Calibri" w:cs="Calibri"/>
          <w:sz w:val="24"/>
          <w:szCs w:val="24"/>
        </w:rPr>
        <w:t xml:space="preserve">Centers for Disease Control and Prevention (CDC).  Interim Guidelines for Collecting, Handling </w:t>
      </w:r>
      <w:r w:rsidR="00E814A1">
        <w:rPr>
          <w:rFonts w:ascii="Calibri" w:hAnsi="Calibri" w:cs="Calibri"/>
          <w:sz w:val="24"/>
          <w:szCs w:val="24"/>
        </w:rPr>
        <w:t>of</w:t>
      </w:r>
      <w:r w:rsidRPr="007869C7">
        <w:rPr>
          <w:rFonts w:ascii="Calibri" w:hAnsi="Calibri" w:cs="Calibri"/>
          <w:sz w:val="24"/>
          <w:szCs w:val="24"/>
        </w:rPr>
        <w:t xml:space="preserve"> Clinical Specimens for COVID-19</w:t>
      </w:r>
      <w:r w:rsidR="00E814A1">
        <w:rPr>
          <w:rFonts w:ascii="Calibri" w:hAnsi="Calibri" w:cs="Calibri"/>
          <w:sz w:val="24"/>
          <w:szCs w:val="24"/>
        </w:rPr>
        <w:t xml:space="preserve"> Testing,</w:t>
      </w:r>
      <w:r w:rsidRPr="007869C7">
        <w:rPr>
          <w:rFonts w:ascii="Calibri" w:hAnsi="Calibri" w:cs="Calibri"/>
          <w:sz w:val="24"/>
          <w:szCs w:val="24"/>
        </w:rPr>
        <w:t xml:space="preserve"> Updated </w:t>
      </w:r>
      <w:r w:rsidR="00E814A1">
        <w:rPr>
          <w:rFonts w:ascii="Calibri" w:hAnsi="Calibri" w:cs="Calibri"/>
          <w:sz w:val="24"/>
          <w:szCs w:val="24"/>
        </w:rPr>
        <w:t xml:space="preserve">Feb. </w:t>
      </w:r>
      <w:r w:rsidR="00F508E1">
        <w:rPr>
          <w:rFonts w:ascii="Calibri" w:hAnsi="Calibri" w:cs="Calibri"/>
          <w:sz w:val="24"/>
          <w:szCs w:val="24"/>
        </w:rPr>
        <w:t>2</w:t>
      </w:r>
      <w:r w:rsidR="00E814A1">
        <w:rPr>
          <w:rFonts w:ascii="Calibri" w:hAnsi="Calibri" w:cs="Calibri"/>
          <w:sz w:val="24"/>
          <w:szCs w:val="24"/>
        </w:rPr>
        <w:t>6</w:t>
      </w:r>
      <w:r w:rsidRPr="007869C7">
        <w:rPr>
          <w:rFonts w:ascii="Calibri" w:hAnsi="Calibri" w:cs="Calibri"/>
          <w:sz w:val="24"/>
          <w:szCs w:val="24"/>
        </w:rPr>
        <w:t>, 202</w:t>
      </w:r>
      <w:r w:rsidR="00E814A1">
        <w:rPr>
          <w:rFonts w:ascii="Calibri" w:hAnsi="Calibri" w:cs="Calibri"/>
          <w:sz w:val="24"/>
          <w:szCs w:val="24"/>
        </w:rPr>
        <w:t>1</w:t>
      </w:r>
      <w:r w:rsidRPr="007869C7">
        <w:rPr>
          <w:rFonts w:ascii="Calibri" w:hAnsi="Calibri" w:cs="Calibri"/>
          <w:sz w:val="24"/>
          <w:szCs w:val="24"/>
        </w:rPr>
        <w:t xml:space="preserve">:  </w:t>
      </w:r>
      <w:hyperlink r:id="rId20" w:history="1">
        <w:r w:rsidRPr="007869C7">
          <w:rPr>
            <w:rFonts w:ascii="Calibri" w:hAnsi="Calibri" w:cs="Calibri"/>
            <w:color w:val="0000FF"/>
            <w:sz w:val="24"/>
            <w:szCs w:val="24"/>
            <w:u w:val="single"/>
          </w:rPr>
          <w:t>https://www.cdc.gov/coronavirus/2019-nCoV/lab/guidelines-clinical-specimens.html</w:t>
        </w:r>
      </w:hyperlink>
    </w:p>
    <w:p w14:paraId="52B9C208" w14:textId="77777777" w:rsidR="007F4486" w:rsidRPr="007869C7" w:rsidRDefault="007F4486" w:rsidP="007F4486">
      <w:pPr>
        <w:rPr>
          <w:rFonts w:ascii="Calibri" w:hAnsi="Calibri" w:cs="Calibri"/>
          <w:szCs w:val="24"/>
        </w:rPr>
      </w:pPr>
    </w:p>
    <w:p w14:paraId="3B557C8E" w14:textId="0293B111" w:rsidR="007F4486" w:rsidRDefault="007F4486" w:rsidP="007F4486">
      <w:pPr>
        <w:rPr>
          <w:rFonts w:asciiTheme="minorHAnsi" w:hAnsiTheme="minorHAnsi" w:cstheme="minorHAnsi"/>
          <w:szCs w:val="24"/>
        </w:rPr>
      </w:pPr>
      <w:r w:rsidRPr="007869C7">
        <w:rPr>
          <w:rFonts w:asciiTheme="minorHAnsi" w:hAnsiTheme="minorHAnsi" w:cstheme="minorHAnsi"/>
          <w:szCs w:val="24"/>
        </w:rPr>
        <w:t>Centers for Disease Control and Prevention (CDC).  Interim Infection</w:t>
      </w:r>
      <w:r w:rsidR="00E91A4F">
        <w:rPr>
          <w:rFonts w:asciiTheme="minorHAnsi" w:hAnsiTheme="minorHAnsi" w:cstheme="minorHAnsi"/>
          <w:szCs w:val="24"/>
        </w:rPr>
        <w:t xml:space="preserve"> Prevention</w:t>
      </w:r>
      <w:r w:rsidRPr="007869C7">
        <w:rPr>
          <w:rFonts w:asciiTheme="minorHAnsi" w:hAnsiTheme="minorHAnsi" w:cstheme="minorHAnsi"/>
          <w:szCs w:val="24"/>
        </w:rPr>
        <w:t xml:space="preserve"> and Control Recommendations for Healthcare Personnel During the Coronavirus Disease 2019 (COVID-19 Pandemic. Updated</w:t>
      </w:r>
      <w:r w:rsidR="00E91A4F">
        <w:rPr>
          <w:rFonts w:asciiTheme="minorHAnsi" w:hAnsiTheme="minorHAnsi" w:cstheme="minorHAnsi"/>
          <w:szCs w:val="24"/>
        </w:rPr>
        <w:t xml:space="preserve"> Feb. 23, 2021</w:t>
      </w:r>
      <w:r w:rsidRPr="007869C7">
        <w:rPr>
          <w:rFonts w:asciiTheme="minorHAnsi" w:hAnsiTheme="minorHAnsi" w:cstheme="minorHAnsi"/>
          <w:szCs w:val="24"/>
        </w:rPr>
        <w:t xml:space="preserve">: </w:t>
      </w:r>
      <w:hyperlink r:id="rId21" w:history="1">
        <w:r w:rsidR="00E91A4F" w:rsidRPr="00994E2F">
          <w:rPr>
            <w:rStyle w:val="Hyperlink"/>
            <w:rFonts w:asciiTheme="minorHAnsi" w:hAnsiTheme="minorHAnsi" w:cstheme="minorHAnsi"/>
            <w:szCs w:val="24"/>
          </w:rPr>
          <w:t>https://www.cdc.gov/coronavirus/2019-ncov/hcp/infection-control-recommendations.html</w:t>
        </w:r>
      </w:hyperlink>
    </w:p>
    <w:p w14:paraId="30CAC894" w14:textId="77777777" w:rsidR="00945B7E" w:rsidRPr="007869C7" w:rsidRDefault="00945B7E" w:rsidP="00945B7E">
      <w:pPr>
        <w:pStyle w:val="NoSpacing"/>
        <w:rPr>
          <w:rFonts w:ascii="Calibri" w:hAnsi="Calibri" w:cs="Calibri"/>
          <w:sz w:val="24"/>
          <w:szCs w:val="24"/>
        </w:rPr>
      </w:pPr>
    </w:p>
    <w:p w14:paraId="6E7DB4FF" w14:textId="77777777" w:rsidR="00945B7E" w:rsidRPr="007869C7" w:rsidRDefault="00945B7E" w:rsidP="00945B7E">
      <w:pPr>
        <w:pStyle w:val="NoSpacing"/>
        <w:rPr>
          <w:rFonts w:ascii="Calibri" w:hAnsi="Calibri" w:cs="Calibri"/>
          <w:sz w:val="24"/>
          <w:szCs w:val="24"/>
        </w:rPr>
      </w:pPr>
      <w:r w:rsidRPr="007869C7">
        <w:rPr>
          <w:rFonts w:ascii="Calibri" w:hAnsi="Calibri" w:cs="Calibri"/>
          <w:sz w:val="24"/>
          <w:szCs w:val="24"/>
        </w:rPr>
        <w:t xml:space="preserve">United States Food &amp; Drug Administration (FDA).  In Vitro Diagnostics EUAs:  </w:t>
      </w:r>
      <w:hyperlink r:id="rId22" w:anchor="individual-antigen" w:history="1">
        <w:r w:rsidRPr="007869C7">
          <w:rPr>
            <w:rStyle w:val="Hyperlink"/>
            <w:rFonts w:ascii="Calibri" w:hAnsi="Calibri" w:cs="Calibri"/>
            <w:sz w:val="24"/>
            <w:szCs w:val="24"/>
          </w:rPr>
          <w:t>https://www.fda.gov/medical-devices/coronavirus-disease-2019-covid-19-emergency-use-authorizations-medical-devices/vitro-diagnostics-euas#individual-antigen</w:t>
        </w:r>
      </w:hyperlink>
      <w:r w:rsidRPr="007869C7">
        <w:rPr>
          <w:rFonts w:ascii="Calibri" w:hAnsi="Calibri" w:cs="Calibri"/>
          <w:sz w:val="24"/>
          <w:szCs w:val="24"/>
        </w:rPr>
        <w:t xml:space="preserve"> </w:t>
      </w:r>
    </w:p>
    <w:p w14:paraId="679595AB" w14:textId="77777777" w:rsidR="00945B7E" w:rsidRPr="007869C7" w:rsidRDefault="00945B7E" w:rsidP="00945B7E">
      <w:pPr>
        <w:rPr>
          <w:rFonts w:ascii="Calibri" w:hAnsi="Calibri" w:cs="Calibri"/>
          <w:szCs w:val="24"/>
        </w:rPr>
      </w:pPr>
    </w:p>
    <w:p w14:paraId="709BA4D9" w14:textId="77777777" w:rsidR="00945B7E" w:rsidRPr="007869C7" w:rsidRDefault="00945B7E" w:rsidP="00945B7E">
      <w:pPr>
        <w:rPr>
          <w:rFonts w:asciiTheme="minorHAnsi" w:hAnsiTheme="minorHAnsi" w:cstheme="minorHAnsi"/>
          <w:szCs w:val="24"/>
        </w:rPr>
      </w:pPr>
      <w:r w:rsidRPr="007869C7">
        <w:rPr>
          <w:rFonts w:asciiTheme="minorHAnsi" w:hAnsiTheme="minorHAnsi" w:cstheme="minorHAnsi"/>
          <w:szCs w:val="24"/>
        </w:rPr>
        <w:t xml:space="preserve">United States Food &amp; Drug Administration (FDA).  Pooled Sample Testing and Screening Testing for  COVID-19:  </w:t>
      </w:r>
      <w:hyperlink r:id="rId23" w:history="1">
        <w:r w:rsidRPr="007869C7">
          <w:rPr>
            <w:rStyle w:val="Hyperlink"/>
            <w:rFonts w:asciiTheme="minorHAnsi" w:hAnsiTheme="minorHAnsi" w:cstheme="minorHAnsi"/>
            <w:szCs w:val="24"/>
          </w:rPr>
          <w:t>https://www.fda.gov/medical-devices/coronavirus-covid-19-and-medical-devices/pooled-sample-testing-and-screening-testing-covid-19</w:t>
        </w:r>
      </w:hyperlink>
      <w:r w:rsidRPr="007869C7">
        <w:rPr>
          <w:rFonts w:asciiTheme="minorHAnsi" w:hAnsiTheme="minorHAnsi" w:cstheme="minorHAnsi"/>
          <w:szCs w:val="24"/>
        </w:rPr>
        <w:t xml:space="preserve"> </w:t>
      </w:r>
    </w:p>
    <w:p w14:paraId="1E100FF8" w14:textId="77777777" w:rsidR="00945B7E" w:rsidRPr="007869C7" w:rsidRDefault="00945B7E" w:rsidP="00945B7E">
      <w:pPr>
        <w:rPr>
          <w:rFonts w:ascii="Calibri" w:hAnsi="Calibri" w:cs="Calibri"/>
          <w:szCs w:val="24"/>
        </w:rPr>
      </w:pPr>
    </w:p>
    <w:p w14:paraId="69416FBD" w14:textId="77777777" w:rsidR="00945B7E" w:rsidRPr="007869C7" w:rsidRDefault="00945B7E" w:rsidP="00945B7E">
      <w:pPr>
        <w:rPr>
          <w:rFonts w:ascii="Calibri" w:hAnsi="Calibri" w:cs="Calibri"/>
          <w:szCs w:val="24"/>
        </w:rPr>
      </w:pPr>
    </w:p>
    <w:p w14:paraId="0146ECB5" w14:textId="07BE32CE" w:rsidR="004613FA" w:rsidRPr="007869C7" w:rsidRDefault="004613FA" w:rsidP="00945B7E">
      <w:pPr>
        <w:spacing w:after="160" w:line="259" w:lineRule="auto"/>
        <w:rPr>
          <w:rFonts w:ascii="Calibri" w:hAnsi="Calibri"/>
          <w:b/>
          <w:szCs w:val="24"/>
        </w:rPr>
      </w:pPr>
    </w:p>
    <w:sectPr w:rsidR="004613FA" w:rsidRPr="007869C7" w:rsidSect="00DE7AF9">
      <w:headerReference w:type="default" r:id="rId24"/>
      <w:footerReference w:type="default" r:id="rId25"/>
      <w:headerReference w:type="first" r:id="rId2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4547" w14:textId="77777777" w:rsidR="00C06FD6" w:rsidRDefault="00C06FD6" w:rsidP="00FE158D">
      <w:r>
        <w:separator/>
      </w:r>
    </w:p>
  </w:endnote>
  <w:endnote w:type="continuationSeparator" w:id="0">
    <w:p w14:paraId="6172BE3B" w14:textId="77777777" w:rsidR="00C06FD6" w:rsidRDefault="00C06FD6"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2579" w14:textId="77777777" w:rsidR="00C06FD6" w:rsidRDefault="00C06FD6" w:rsidP="00FE158D">
      <w:r>
        <w:separator/>
      </w:r>
    </w:p>
  </w:footnote>
  <w:footnote w:type="continuationSeparator" w:id="0">
    <w:p w14:paraId="14236E03" w14:textId="77777777" w:rsidR="00C06FD6" w:rsidRDefault="00C06FD6"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8896B19"/>
    <w:multiLevelType w:val="hybridMultilevel"/>
    <w:tmpl w:val="CB7AA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E32984"/>
    <w:multiLevelType w:val="hybridMultilevel"/>
    <w:tmpl w:val="D1DED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036054"/>
    <w:multiLevelType w:val="hybridMultilevel"/>
    <w:tmpl w:val="9A32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1"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3"/>
  </w:num>
  <w:num w:numId="24">
    <w:abstractNumId w:val="10"/>
  </w:num>
  <w:num w:numId="25">
    <w:abstractNumId w:val="20"/>
  </w:num>
  <w:num w:numId="26">
    <w:abstractNumId w:val="15"/>
  </w:num>
  <w:num w:numId="27">
    <w:abstractNumId w:val="22"/>
  </w:num>
  <w:num w:numId="28">
    <w:abstractNumId w:val="8"/>
  </w:num>
  <w:num w:numId="29">
    <w:abstractNumId w:val="26"/>
  </w:num>
  <w:num w:numId="30">
    <w:abstractNumId w:val="24"/>
  </w:num>
  <w:num w:numId="31">
    <w:abstractNumId w:val="36"/>
  </w:num>
  <w:num w:numId="32">
    <w:abstractNumId w:val="17"/>
  </w:num>
  <w:num w:numId="33">
    <w:abstractNumId w:val="37"/>
  </w:num>
  <w:num w:numId="34">
    <w:abstractNumId w:val="41"/>
  </w:num>
  <w:num w:numId="35">
    <w:abstractNumId w:val="29"/>
  </w:num>
  <w:num w:numId="36">
    <w:abstractNumId w:val="39"/>
  </w:num>
  <w:num w:numId="37">
    <w:abstractNumId w:val="11"/>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1"/>
  </w:num>
  <w:num w:numId="41">
    <w:abstractNumId w:val="3"/>
  </w:num>
  <w:num w:numId="42">
    <w:abstractNumId w:val="1"/>
  </w:num>
  <w:num w:numId="4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B4DB3"/>
    <w:rsid w:val="000D380A"/>
    <w:rsid w:val="000D5B62"/>
    <w:rsid w:val="000E228A"/>
    <w:rsid w:val="000F7E90"/>
    <w:rsid w:val="00101141"/>
    <w:rsid w:val="00102A96"/>
    <w:rsid w:val="00107BCF"/>
    <w:rsid w:val="001139B8"/>
    <w:rsid w:val="001221F3"/>
    <w:rsid w:val="0012309D"/>
    <w:rsid w:val="00144BE0"/>
    <w:rsid w:val="00170AD2"/>
    <w:rsid w:val="00185739"/>
    <w:rsid w:val="0019504D"/>
    <w:rsid w:val="00234C60"/>
    <w:rsid w:val="002376A2"/>
    <w:rsid w:val="0029611C"/>
    <w:rsid w:val="002A5884"/>
    <w:rsid w:val="002B7CFC"/>
    <w:rsid w:val="002C5F29"/>
    <w:rsid w:val="002D68EE"/>
    <w:rsid w:val="002F2B8A"/>
    <w:rsid w:val="003011C7"/>
    <w:rsid w:val="00301477"/>
    <w:rsid w:val="00301AA8"/>
    <w:rsid w:val="0031633A"/>
    <w:rsid w:val="00317996"/>
    <w:rsid w:val="0033490A"/>
    <w:rsid w:val="0034795D"/>
    <w:rsid w:val="00372DF7"/>
    <w:rsid w:val="003734C7"/>
    <w:rsid w:val="00373CF0"/>
    <w:rsid w:val="003A280F"/>
    <w:rsid w:val="003A3E8D"/>
    <w:rsid w:val="003B0939"/>
    <w:rsid w:val="003F0C77"/>
    <w:rsid w:val="00402197"/>
    <w:rsid w:val="00416F96"/>
    <w:rsid w:val="00445D7B"/>
    <w:rsid w:val="004613FA"/>
    <w:rsid w:val="00484844"/>
    <w:rsid w:val="004972C3"/>
    <w:rsid w:val="0052654A"/>
    <w:rsid w:val="00534CAA"/>
    <w:rsid w:val="0053732B"/>
    <w:rsid w:val="005438CB"/>
    <w:rsid w:val="00545D9B"/>
    <w:rsid w:val="005817E5"/>
    <w:rsid w:val="005915DF"/>
    <w:rsid w:val="00593E4B"/>
    <w:rsid w:val="005C7713"/>
    <w:rsid w:val="005F036A"/>
    <w:rsid w:val="005F5F76"/>
    <w:rsid w:val="006034EC"/>
    <w:rsid w:val="00603AC0"/>
    <w:rsid w:val="00605605"/>
    <w:rsid w:val="00610027"/>
    <w:rsid w:val="006338B1"/>
    <w:rsid w:val="0066706B"/>
    <w:rsid w:val="00667E8B"/>
    <w:rsid w:val="006A3CC2"/>
    <w:rsid w:val="006B2ED2"/>
    <w:rsid w:val="006C7A0C"/>
    <w:rsid w:val="007054DD"/>
    <w:rsid w:val="00715D1E"/>
    <w:rsid w:val="007251EF"/>
    <w:rsid w:val="00746482"/>
    <w:rsid w:val="00783084"/>
    <w:rsid w:val="007869C7"/>
    <w:rsid w:val="007921AF"/>
    <w:rsid w:val="007A61F1"/>
    <w:rsid w:val="007F26C3"/>
    <w:rsid w:val="007F4486"/>
    <w:rsid w:val="00805910"/>
    <w:rsid w:val="008259FB"/>
    <w:rsid w:val="00830EB2"/>
    <w:rsid w:val="0087521D"/>
    <w:rsid w:val="00883AD3"/>
    <w:rsid w:val="008E7224"/>
    <w:rsid w:val="008F1ABA"/>
    <w:rsid w:val="009032B9"/>
    <w:rsid w:val="009073EC"/>
    <w:rsid w:val="00945B7E"/>
    <w:rsid w:val="009478FB"/>
    <w:rsid w:val="00951B77"/>
    <w:rsid w:val="0096755B"/>
    <w:rsid w:val="009854C3"/>
    <w:rsid w:val="009B7479"/>
    <w:rsid w:val="009C106D"/>
    <w:rsid w:val="009C357E"/>
    <w:rsid w:val="009C583E"/>
    <w:rsid w:val="009E6EC7"/>
    <w:rsid w:val="009F0488"/>
    <w:rsid w:val="00A039B0"/>
    <w:rsid w:val="00A23AE0"/>
    <w:rsid w:val="00A25232"/>
    <w:rsid w:val="00A60BDA"/>
    <w:rsid w:val="00A665C0"/>
    <w:rsid w:val="00A723F9"/>
    <w:rsid w:val="00A8152C"/>
    <w:rsid w:val="00A86993"/>
    <w:rsid w:val="00A9460A"/>
    <w:rsid w:val="00AA14E0"/>
    <w:rsid w:val="00AA7C93"/>
    <w:rsid w:val="00AB677E"/>
    <w:rsid w:val="00AC0FC3"/>
    <w:rsid w:val="00B019EA"/>
    <w:rsid w:val="00B2096E"/>
    <w:rsid w:val="00B24FB4"/>
    <w:rsid w:val="00BB507F"/>
    <w:rsid w:val="00BC79D8"/>
    <w:rsid w:val="00BD62D6"/>
    <w:rsid w:val="00C0102E"/>
    <w:rsid w:val="00C06FD6"/>
    <w:rsid w:val="00C170A5"/>
    <w:rsid w:val="00C450B5"/>
    <w:rsid w:val="00C47D16"/>
    <w:rsid w:val="00C54FD0"/>
    <w:rsid w:val="00C71D53"/>
    <w:rsid w:val="00C82867"/>
    <w:rsid w:val="00CC2821"/>
    <w:rsid w:val="00CE4291"/>
    <w:rsid w:val="00CE786A"/>
    <w:rsid w:val="00D2277C"/>
    <w:rsid w:val="00DB6D68"/>
    <w:rsid w:val="00DB7A52"/>
    <w:rsid w:val="00DC40AB"/>
    <w:rsid w:val="00DE484B"/>
    <w:rsid w:val="00DE7AF9"/>
    <w:rsid w:val="00E10399"/>
    <w:rsid w:val="00E42F64"/>
    <w:rsid w:val="00E4366C"/>
    <w:rsid w:val="00E57F57"/>
    <w:rsid w:val="00E66BB5"/>
    <w:rsid w:val="00E814A1"/>
    <w:rsid w:val="00E91A4F"/>
    <w:rsid w:val="00E94EC6"/>
    <w:rsid w:val="00ED6153"/>
    <w:rsid w:val="00EE0E87"/>
    <w:rsid w:val="00EF059B"/>
    <w:rsid w:val="00EF0A00"/>
    <w:rsid w:val="00F508E1"/>
    <w:rsid w:val="00F5332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7BCF"/>
    <w:rPr>
      <w:b/>
      <w:bCs/>
    </w:rPr>
  </w:style>
  <w:style w:type="character" w:customStyle="1" w:styleId="CommentSubjectChar">
    <w:name w:val="Comment Subject Char"/>
    <w:basedOn w:val="CommentTextChar"/>
    <w:link w:val="CommentSubject"/>
    <w:uiPriority w:val="99"/>
    <w:semiHidden/>
    <w:rsid w:val="00107BC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07BCF"/>
    <w:rPr>
      <w:color w:val="605E5C"/>
      <w:shd w:val="clear" w:color="auto" w:fill="E1DFDD"/>
    </w:rPr>
  </w:style>
  <w:style w:type="character" w:styleId="FollowedHyperlink">
    <w:name w:val="FollowedHyperlink"/>
    <w:basedOn w:val="DefaultParagraphFont"/>
    <w:uiPriority w:val="99"/>
    <w:semiHidden/>
    <w:unhideWhenUsed/>
    <w:rsid w:val="00C45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382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surveycertificationgeninfopolicy-and-memos-states-and/interim-final-rule-ifc-cms-3401-ifc-additional-policy-and-regulatory-revisions-response-covid-19" TargetMode="External"/><Relationship Id="rId13" Type="http://schemas.openxmlformats.org/officeDocument/2006/relationships/hyperlink" Target="https://www.cdc.gov/coronavirus/2019-ncov/lab/point-of-care-testing.html" TargetMode="External"/><Relationship Id="rId18" Type="http://schemas.openxmlformats.org/officeDocument/2006/relationships/hyperlink" Target="https://cdc.gov/coronavirus/2019-ncov/hcp/long-term-care.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dc.gov/coronavirus/2019-ncov/hcp/infection-control-recommendations.html" TargetMode="External"/><Relationship Id="rId7" Type="http://schemas.openxmlformats.org/officeDocument/2006/relationships/endnotes" Target="endnotes.xml"/><Relationship Id="rId12" Type="http://schemas.openxmlformats.org/officeDocument/2006/relationships/hyperlink" Target="https://www.cdc.gov/coronavirus/2019-ncov/lab/naats.html" TargetMode="External"/><Relationship Id="rId17" Type="http://schemas.openxmlformats.org/officeDocument/2006/relationships/hyperlink" Target="https://www.cdc.gov/coronavirus/2019-ncov/hcp/nursing-homes-antigen-testing.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coronavirus/2019-ncov/lab/resources/antigen-tests-guidelines.html" TargetMode="External"/><Relationship Id="rId20" Type="http://schemas.openxmlformats.org/officeDocument/2006/relationships/hyperlink" Target="https://www.cdc.gov/coronavirus/2019-nCoV/lab/guidelines-clinical-specime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sites/default/files/covid-19-laboratory-data-reporting-guidance.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ms.gov/files/document/qso-20-37-clianh.pdf" TargetMode="External"/><Relationship Id="rId23" Type="http://schemas.openxmlformats.org/officeDocument/2006/relationships/hyperlink" Target="https://www.fda.gov/medical-devices/coronavirus-covid-19-and-medical-devices/pooled-sample-testing-and-screening-testing-covid-19" TargetMode="External"/><Relationship Id="rId28" Type="http://schemas.openxmlformats.org/officeDocument/2006/relationships/theme" Target="theme/theme1.xml"/><Relationship Id="rId10" Type="http://schemas.openxmlformats.org/officeDocument/2006/relationships/hyperlink" Target="https://www.cms.gov/Regulations-and-Guidance/Legislation/CLIA" TargetMode="External"/><Relationship Id="rId19" Type="http://schemas.openxmlformats.org/officeDocument/2006/relationships/hyperlink" Target="https://www.cdc.gov/coronavirus/2019-ncov/lab/point-of-care-testing.html" TargetMode="External"/><Relationship Id="rId4" Type="http://schemas.openxmlformats.org/officeDocument/2006/relationships/settings" Target="settings.xml"/><Relationship Id="rId9" Type="http://schemas.openxmlformats.org/officeDocument/2006/relationships/hyperlink" Target="https://www.cdc.gov/coronavirus/2019-ncov/lab/reporting-lab-data.html" TargetMode="External"/><Relationship Id="rId14" Type="http://schemas.openxmlformats.org/officeDocument/2006/relationships/hyperlink" Target="https://www.cms.gov/files/document/qso-20-38-nh.pdf" TargetMode="External"/><Relationship Id="rId22" Type="http://schemas.openxmlformats.org/officeDocument/2006/relationships/hyperlink" Target="https://www.fda.gov/medical-devices/coronavirus-disease-2019-covid-19-emergency-use-authorizations-medical-devices/vitro-diagnostics-eua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B2907-5D44-4F15-B80C-99AFD72E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3</cp:revision>
  <dcterms:created xsi:type="dcterms:W3CDTF">2021-05-26T18:26:00Z</dcterms:created>
  <dcterms:modified xsi:type="dcterms:W3CDTF">2021-05-28T17:38:00Z</dcterms:modified>
</cp:coreProperties>
</file>