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72537" w14:textId="34E2C9E2" w:rsidR="00EF35DE" w:rsidRDefault="00EF35DE">
                            <w:pPr>
                              <w:rPr>
                                <w:rFonts w:ascii="Calibri" w:hAnsi="Calibri"/>
                                <w:b/>
                                <w:color w:val="FFFFFF" w:themeColor="background1"/>
                                <w:sz w:val="72"/>
                              </w:rPr>
                            </w:pPr>
                            <w:r>
                              <w:rPr>
                                <w:rFonts w:ascii="Calibri" w:hAnsi="Calibri"/>
                                <w:b/>
                                <w:color w:val="FFFFFF" w:themeColor="background1"/>
                                <w:sz w:val="72"/>
                              </w:rPr>
                              <w:t>COVID-19</w:t>
                            </w:r>
                            <w:r w:rsidR="00B7098C">
                              <w:rPr>
                                <w:rFonts w:ascii="Calibri" w:hAnsi="Calibri"/>
                                <w:b/>
                                <w:color w:val="FFFFFF" w:themeColor="background1"/>
                                <w:sz w:val="72"/>
                              </w:rPr>
                              <w:t xml:space="preserve"> </w:t>
                            </w:r>
                            <w:r>
                              <w:rPr>
                                <w:rFonts w:ascii="Calibri" w:hAnsi="Calibri"/>
                                <w:b/>
                                <w:color w:val="FFFFFF" w:themeColor="background1"/>
                                <w:sz w:val="72"/>
                              </w:rPr>
                              <w:t>Testing</w:t>
                            </w:r>
                          </w:p>
                          <w:p w14:paraId="46E72822" w14:textId="77777777" w:rsidR="00EF35DE" w:rsidRDefault="00EF35DE">
                            <w:pPr>
                              <w:rPr>
                                <w:rFonts w:ascii="Calibri" w:hAnsi="Calibri"/>
                                <w:b/>
                                <w:color w:val="FFFFFF" w:themeColor="background1"/>
                                <w:sz w:val="72"/>
                              </w:rPr>
                            </w:pPr>
                          </w:p>
                          <w:p w14:paraId="46296E76" w14:textId="7B67C0E9" w:rsidR="00416F96" w:rsidRDefault="00D300BE">
                            <w:pPr>
                              <w:rPr>
                                <w:rFonts w:ascii="Calibri" w:hAnsi="Calibri"/>
                                <w:b/>
                                <w:color w:val="FFFFFF" w:themeColor="background1"/>
                                <w:sz w:val="72"/>
                              </w:rPr>
                            </w:pPr>
                            <w:r>
                              <w:rPr>
                                <w:rFonts w:ascii="Calibri" w:hAnsi="Calibri"/>
                                <w:b/>
                                <w:color w:val="FFFFFF" w:themeColor="background1"/>
                                <w:sz w:val="72"/>
                              </w:rPr>
                              <w:t>Billing for COVID-19 Tests</w:t>
                            </w:r>
                          </w:p>
                          <w:p w14:paraId="2F9B5DD3" w14:textId="4E0B3E4B" w:rsidR="00B7098C" w:rsidRDefault="00B7098C" w:rsidP="00B7098C">
                            <w:pPr>
                              <w:rPr>
                                <w:rFonts w:ascii="Calibri" w:hAnsi="Calibri"/>
                                <w:b/>
                                <w:color w:val="FFFFFF" w:themeColor="background1"/>
                                <w:sz w:val="36"/>
                                <w:szCs w:val="36"/>
                              </w:rPr>
                            </w:pPr>
                            <w:r>
                              <w:rPr>
                                <w:rFonts w:ascii="Calibri" w:hAnsi="Calibri"/>
                                <w:b/>
                                <w:color w:val="FFFFFF" w:themeColor="background1"/>
                                <w:sz w:val="36"/>
                                <w:szCs w:val="36"/>
                              </w:rPr>
                              <w:t>(</w:t>
                            </w:r>
                            <w:r w:rsidR="004E704C">
                              <w:rPr>
                                <w:rFonts w:ascii="Calibri" w:hAnsi="Calibri"/>
                                <w:b/>
                                <w:color w:val="FFFFFF" w:themeColor="background1"/>
                                <w:sz w:val="36"/>
                                <w:szCs w:val="36"/>
                              </w:rPr>
                              <w:t>05</w:t>
                            </w:r>
                            <w:r>
                              <w:rPr>
                                <w:rFonts w:ascii="Calibri" w:hAnsi="Calibri"/>
                                <w:b/>
                                <w:color w:val="FFFFFF" w:themeColor="background1"/>
                                <w:sz w:val="36"/>
                                <w:szCs w:val="36"/>
                              </w:rPr>
                              <w:t>.</w:t>
                            </w:r>
                            <w:r w:rsidR="004E704C">
                              <w:rPr>
                                <w:rFonts w:ascii="Calibri" w:hAnsi="Calibri"/>
                                <w:b/>
                                <w:color w:val="FFFFFF" w:themeColor="background1"/>
                                <w:sz w:val="36"/>
                                <w:szCs w:val="36"/>
                              </w:rPr>
                              <w:t>28</w:t>
                            </w:r>
                            <w:r>
                              <w:rPr>
                                <w:rFonts w:ascii="Calibri" w:hAnsi="Calibri"/>
                                <w:b/>
                                <w:color w:val="FFFFFF" w:themeColor="background1"/>
                                <w:sz w:val="36"/>
                                <w:szCs w:val="36"/>
                              </w:rPr>
                              <w:t>.202</w:t>
                            </w:r>
                            <w:r w:rsidR="004E704C">
                              <w:rPr>
                                <w:rFonts w:ascii="Calibri" w:hAnsi="Calibri"/>
                                <w:b/>
                                <w:color w:val="FFFFFF" w:themeColor="background1"/>
                                <w:sz w:val="36"/>
                                <w:szCs w:val="36"/>
                              </w:rPr>
                              <w:t>1</w:t>
                            </w:r>
                            <w:r>
                              <w:rPr>
                                <w:rFonts w:ascii="Calibri" w:hAnsi="Calibri"/>
                                <w:b/>
                                <w:color w:val="FFFFFF" w:themeColor="background1"/>
                                <w:sz w:val="36"/>
                                <w:szCs w:val="36"/>
                              </w:rPr>
                              <w:t>)</w:t>
                            </w:r>
                          </w:p>
                          <w:p w14:paraId="5660945E" w14:textId="77777777" w:rsidR="00B7098C" w:rsidRPr="00C82867" w:rsidRDefault="00B7098C">
                            <w:pPr>
                              <w:rPr>
                                <w:rFonts w:ascii="Calibri" w:hAnsi="Calibri"/>
                                <w:b/>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5CE72537" w14:textId="34E2C9E2" w:rsidR="00EF35DE" w:rsidRDefault="00EF35DE">
                      <w:pPr>
                        <w:rPr>
                          <w:rFonts w:ascii="Calibri" w:hAnsi="Calibri"/>
                          <w:b/>
                          <w:color w:val="FFFFFF" w:themeColor="background1"/>
                          <w:sz w:val="72"/>
                        </w:rPr>
                      </w:pPr>
                      <w:r>
                        <w:rPr>
                          <w:rFonts w:ascii="Calibri" w:hAnsi="Calibri"/>
                          <w:b/>
                          <w:color w:val="FFFFFF" w:themeColor="background1"/>
                          <w:sz w:val="72"/>
                        </w:rPr>
                        <w:t>COVID-19</w:t>
                      </w:r>
                      <w:r w:rsidR="00B7098C">
                        <w:rPr>
                          <w:rFonts w:ascii="Calibri" w:hAnsi="Calibri"/>
                          <w:b/>
                          <w:color w:val="FFFFFF" w:themeColor="background1"/>
                          <w:sz w:val="72"/>
                        </w:rPr>
                        <w:t xml:space="preserve"> </w:t>
                      </w:r>
                      <w:r>
                        <w:rPr>
                          <w:rFonts w:ascii="Calibri" w:hAnsi="Calibri"/>
                          <w:b/>
                          <w:color w:val="FFFFFF" w:themeColor="background1"/>
                          <w:sz w:val="72"/>
                        </w:rPr>
                        <w:t>Testing</w:t>
                      </w:r>
                    </w:p>
                    <w:p w14:paraId="46E72822" w14:textId="77777777" w:rsidR="00EF35DE" w:rsidRDefault="00EF35DE">
                      <w:pPr>
                        <w:rPr>
                          <w:rFonts w:ascii="Calibri" w:hAnsi="Calibri"/>
                          <w:b/>
                          <w:color w:val="FFFFFF" w:themeColor="background1"/>
                          <w:sz w:val="72"/>
                        </w:rPr>
                      </w:pPr>
                    </w:p>
                    <w:p w14:paraId="46296E76" w14:textId="7B67C0E9" w:rsidR="00416F96" w:rsidRDefault="00D300BE">
                      <w:pPr>
                        <w:rPr>
                          <w:rFonts w:ascii="Calibri" w:hAnsi="Calibri"/>
                          <w:b/>
                          <w:color w:val="FFFFFF" w:themeColor="background1"/>
                          <w:sz w:val="72"/>
                        </w:rPr>
                      </w:pPr>
                      <w:r>
                        <w:rPr>
                          <w:rFonts w:ascii="Calibri" w:hAnsi="Calibri"/>
                          <w:b/>
                          <w:color w:val="FFFFFF" w:themeColor="background1"/>
                          <w:sz w:val="72"/>
                        </w:rPr>
                        <w:t>Billing for COVID-19 Tests</w:t>
                      </w:r>
                    </w:p>
                    <w:p w14:paraId="2F9B5DD3" w14:textId="4E0B3E4B" w:rsidR="00B7098C" w:rsidRDefault="00B7098C" w:rsidP="00B7098C">
                      <w:pPr>
                        <w:rPr>
                          <w:rFonts w:ascii="Calibri" w:hAnsi="Calibri"/>
                          <w:b/>
                          <w:color w:val="FFFFFF" w:themeColor="background1"/>
                          <w:sz w:val="36"/>
                          <w:szCs w:val="36"/>
                        </w:rPr>
                      </w:pPr>
                      <w:r>
                        <w:rPr>
                          <w:rFonts w:ascii="Calibri" w:hAnsi="Calibri"/>
                          <w:b/>
                          <w:color w:val="FFFFFF" w:themeColor="background1"/>
                          <w:sz w:val="36"/>
                          <w:szCs w:val="36"/>
                        </w:rPr>
                        <w:t>(</w:t>
                      </w:r>
                      <w:r w:rsidR="004E704C">
                        <w:rPr>
                          <w:rFonts w:ascii="Calibri" w:hAnsi="Calibri"/>
                          <w:b/>
                          <w:color w:val="FFFFFF" w:themeColor="background1"/>
                          <w:sz w:val="36"/>
                          <w:szCs w:val="36"/>
                        </w:rPr>
                        <w:t>05</w:t>
                      </w:r>
                      <w:r>
                        <w:rPr>
                          <w:rFonts w:ascii="Calibri" w:hAnsi="Calibri"/>
                          <w:b/>
                          <w:color w:val="FFFFFF" w:themeColor="background1"/>
                          <w:sz w:val="36"/>
                          <w:szCs w:val="36"/>
                        </w:rPr>
                        <w:t>.</w:t>
                      </w:r>
                      <w:r w:rsidR="004E704C">
                        <w:rPr>
                          <w:rFonts w:ascii="Calibri" w:hAnsi="Calibri"/>
                          <w:b/>
                          <w:color w:val="FFFFFF" w:themeColor="background1"/>
                          <w:sz w:val="36"/>
                          <w:szCs w:val="36"/>
                        </w:rPr>
                        <w:t>28</w:t>
                      </w:r>
                      <w:r>
                        <w:rPr>
                          <w:rFonts w:ascii="Calibri" w:hAnsi="Calibri"/>
                          <w:b/>
                          <w:color w:val="FFFFFF" w:themeColor="background1"/>
                          <w:sz w:val="36"/>
                          <w:szCs w:val="36"/>
                        </w:rPr>
                        <w:t>.202</w:t>
                      </w:r>
                      <w:r w:rsidR="004E704C">
                        <w:rPr>
                          <w:rFonts w:ascii="Calibri" w:hAnsi="Calibri"/>
                          <w:b/>
                          <w:color w:val="FFFFFF" w:themeColor="background1"/>
                          <w:sz w:val="36"/>
                          <w:szCs w:val="36"/>
                        </w:rPr>
                        <w:t>1</w:t>
                      </w:r>
                      <w:r>
                        <w:rPr>
                          <w:rFonts w:ascii="Calibri" w:hAnsi="Calibri"/>
                          <w:b/>
                          <w:color w:val="FFFFFF" w:themeColor="background1"/>
                          <w:sz w:val="36"/>
                          <w:szCs w:val="36"/>
                        </w:rPr>
                        <w:t>)</w:t>
                      </w:r>
                    </w:p>
                    <w:p w14:paraId="5660945E" w14:textId="77777777" w:rsidR="00B7098C" w:rsidRPr="00C82867" w:rsidRDefault="00B7098C">
                      <w:pPr>
                        <w:rPr>
                          <w:rFonts w:ascii="Calibri" w:hAnsi="Calibri"/>
                          <w:b/>
                          <w:color w:val="FFFFFF" w:themeColor="background1"/>
                          <w:sz w:val="48"/>
                          <w:szCs w:val="48"/>
                        </w:rPr>
                      </w:pPr>
                    </w:p>
                  </w:txbxContent>
                </v:textbox>
                <w10:wrap anchory="page"/>
              </v:shape>
            </w:pict>
          </mc:Fallback>
        </mc:AlternateContent>
      </w:r>
    </w:p>
    <w:p w14:paraId="32B8F157" w14:textId="77777777" w:rsidR="00CB5962" w:rsidRPr="00CB5962" w:rsidRDefault="00484844" w:rsidP="00CB5962">
      <w:pPr>
        <w:pStyle w:val="NoSpacing"/>
        <w:jc w:val="center"/>
        <w:rPr>
          <w:rFonts w:ascii="Calibri" w:hAnsi="Calibri" w:cs="Calibri"/>
          <w:b/>
          <w:bCs/>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CB5962" w:rsidRPr="00CB5962">
        <w:rPr>
          <w:rFonts w:ascii="Calibri" w:hAnsi="Calibri" w:cs="Calibri"/>
          <w:b/>
          <w:bCs/>
          <w:sz w:val="28"/>
          <w:szCs w:val="28"/>
        </w:rPr>
        <w:lastRenderedPageBreak/>
        <w:t>Billing for COVID-19 Testing</w:t>
      </w:r>
    </w:p>
    <w:p w14:paraId="7C0F6FC4" w14:textId="77777777" w:rsidR="00CB5962" w:rsidRPr="00CB5962" w:rsidRDefault="00CB5962" w:rsidP="00CB5962">
      <w:pPr>
        <w:pStyle w:val="NoSpacing"/>
        <w:rPr>
          <w:rFonts w:ascii="Calibri" w:hAnsi="Calibri" w:cs="Calibri"/>
          <w:sz w:val="24"/>
          <w:szCs w:val="24"/>
        </w:rPr>
      </w:pPr>
    </w:p>
    <w:p w14:paraId="628C4770" w14:textId="279AB8C3" w:rsidR="00CB5962" w:rsidRDefault="00CB5962" w:rsidP="00CB5962">
      <w:pPr>
        <w:pStyle w:val="NoSpacing"/>
        <w:rPr>
          <w:rFonts w:ascii="Calibri" w:hAnsi="Calibri" w:cs="Calibri"/>
          <w:b/>
          <w:bCs/>
          <w:sz w:val="24"/>
          <w:szCs w:val="24"/>
        </w:rPr>
      </w:pPr>
      <w:r w:rsidRPr="00CB5962">
        <w:rPr>
          <w:rFonts w:ascii="Calibri" w:hAnsi="Calibri" w:cs="Calibri"/>
          <w:b/>
          <w:bCs/>
          <w:sz w:val="24"/>
          <w:szCs w:val="24"/>
        </w:rPr>
        <w:t>Medicare</w:t>
      </w:r>
    </w:p>
    <w:p w14:paraId="75AEDFE3" w14:textId="77777777" w:rsidR="00CB5962" w:rsidRPr="00CB5962" w:rsidRDefault="00CB5962" w:rsidP="00CB5962">
      <w:pPr>
        <w:pStyle w:val="NoSpacing"/>
        <w:rPr>
          <w:rFonts w:ascii="Calibri" w:hAnsi="Calibri" w:cs="Calibri"/>
          <w:b/>
          <w:bCs/>
          <w:sz w:val="24"/>
          <w:szCs w:val="24"/>
        </w:rPr>
      </w:pPr>
    </w:p>
    <w:p w14:paraId="490EB135"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 xml:space="preserve">Medicare is usually the primary payer for Medicare covered testing. </w:t>
      </w:r>
    </w:p>
    <w:p w14:paraId="53B1267A" w14:textId="77777777" w:rsidR="00CB5962" w:rsidRPr="00CB5962" w:rsidRDefault="00CB5962" w:rsidP="00CB5962">
      <w:pPr>
        <w:pStyle w:val="NoSpacing"/>
        <w:rPr>
          <w:rFonts w:ascii="Calibri" w:hAnsi="Calibri" w:cs="Calibri"/>
          <w:sz w:val="24"/>
          <w:szCs w:val="24"/>
        </w:rPr>
      </w:pPr>
    </w:p>
    <w:p w14:paraId="4E1E098F"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Medicare covers the following diagnostic viral testing for nursing home residents consistent with “CDC Testing Guidelines for Nursing Homes”:</w:t>
      </w:r>
    </w:p>
    <w:p w14:paraId="71619AB9" w14:textId="77777777" w:rsidR="00CB5962" w:rsidRPr="00CB5962" w:rsidRDefault="00CB5962" w:rsidP="00CB5962">
      <w:pPr>
        <w:pStyle w:val="NoSpacing"/>
        <w:rPr>
          <w:rFonts w:ascii="Calibri" w:hAnsi="Calibri" w:cs="Calibri"/>
          <w:sz w:val="24"/>
          <w:szCs w:val="24"/>
        </w:rPr>
      </w:pPr>
    </w:p>
    <w:p w14:paraId="48799B00" w14:textId="77777777" w:rsidR="00CB5962" w:rsidRPr="00CB5962" w:rsidRDefault="00CB5962" w:rsidP="00CB5962">
      <w:pPr>
        <w:pStyle w:val="NoSpacing"/>
        <w:numPr>
          <w:ilvl w:val="0"/>
          <w:numId w:val="39"/>
        </w:numPr>
        <w:rPr>
          <w:rFonts w:ascii="Calibri" w:hAnsi="Calibri" w:cs="Calibri"/>
          <w:sz w:val="24"/>
          <w:szCs w:val="24"/>
        </w:rPr>
      </w:pPr>
      <w:r w:rsidRPr="00CB5962">
        <w:rPr>
          <w:rFonts w:ascii="Calibri" w:hAnsi="Calibri" w:cs="Calibri"/>
          <w:sz w:val="24"/>
          <w:szCs w:val="24"/>
        </w:rPr>
        <w:t xml:space="preserve">Testing residents with signs or symptoms of COVID-19 </w:t>
      </w:r>
    </w:p>
    <w:p w14:paraId="7C3C2923" w14:textId="77777777" w:rsidR="00CB5962" w:rsidRPr="00CB5962" w:rsidRDefault="00CB5962" w:rsidP="00CB5962">
      <w:pPr>
        <w:pStyle w:val="NoSpacing"/>
        <w:numPr>
          <w:ilvl w:val="0"/>
          <w:numId w:val="39"/>
        </w:numPr>
        <w:rPr>
          <w:rFonts w:ascii="Calibri" w:hAnsi="Calibri" w:cs="Calibri"/>
          <w:sz w:val="24"/>
          <w:szCs w:val="24"/>
        </w:rPr>
      </w:pPr>
      <w:r w:rsidRPr="00CB5962">
        <w:rPr>
          <w:rFonts w:ascii="Calibri" w:hAnsi="Calibri" w:cs="Calibri"/>
          <w:sz w:val="24"/>
          <w:szCs w:val="24"/>
        </w:rPr>
        <w:t>Testing asymptomatic residents with known or suspected exposure to an individual infected with SARS-CoV-2 including close and expanded contacts (e.g., there is an outbreak in the facility)</w:t>
      </w:r>
    </w:p>
    <w:p w14:paraId="2B031143" w14:textId="77777777" w:rsidR="00CB5962" w:rsidRPr="00CB5962" w:rsidRDefault="00CB5962" w:rsidP="00CB5962">
      <w:pPr>
        <w:pStyle w:val="NoSpacing"/>
        <w:numPr>
          <w:ilvl w:val="0"/>
          <w:numId w:val="39"/>
        </w:numPr>
        <w:rPr>
          <w:rFonts w:ascii="Calibri" w:hAnsi="Calibri" w:cs="Calibri"/>
          <w:sz w:val="24"/>
          <w:szCs w:val="24"/>
        </w:rPr>
      </w:pPr>
      <w:r w:rsidRPr="00CB5962">
        <w:rPr>
          <w:rFonts w:ascii="Calibri" w:hAnsi="Calibri" w:cs="Calibri"/>
          <w:sz w:val="24"/>
          <w:szCs w:val="24"/>
        </w:rPr>
        <w:t xml:space="preserve">Initial (baseline) testing of asymptomatic residents without known or suspected exposure to an individual infected with SARS-CoV-2 as part of the recommended reopening process </w:t>
      </w:r>
    </w:p>
    <w:p w14:paraId="2FBA0065" w14:textId="77777777" w:rsidR="00CB5962" w:rsidRPr="00CB5962" w:rsidRDefault="00CB5962" w:rsidP="00CB5962">
      <w:pPr>
        <w:pStyle w:val="NoSpacing"/>
        <w:numPr>
          <w:ilvl w:val="0"/>
          <w:numId w:val="39"/>
        </w:numPr>
        <w:rPr>
          <w:rFonts w:ascii="Calibri" w:hAnsi="Calibri" w:cs="Calibri"/>
          <w:sz w:val="24"/>
          <w:szCs w:val="24"/>
        </w:rPr>
      </w:pPr>
      <w:r w:rsidRPr="00CB5962">
        <w:rPr>
          <w:rFonts w:ascii="Calibri" w:hAnsi="Calibri" w:cs="Calibri"/>
          <w:sz w:val="24"/>
          <w:szCs w:val="24"/>
        </w:rPr>
        <w:t>Testing to determine resolution of infection</w:t>
      </w:r>
    </w:p>
    <w:p w14:paraId="0DAE005B" w14:textId="77777777" w:rsidR="00CB5962" w:rsidRPr="00CB5962" w:rsidRDefault="00CB5962" w:rsidP="00CB5962">
      <w:pPr>
        <w:pStyle w:val="NoSpacing"/>
        <w:rPr>
          <w:rFonts w:ascii="Calibri" w:hAnsi="Calibri" w:cs="Calibri"/>
          <w:sz w:val="24"/>
          <w:szCs w:val="24"/>
        </w:rPr>
      </w:pPr>
    </w:p>
    <w:p w14:paraId="6750587B"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Medicare will make payment for one diagnostic test per resident without an order from a physician, practitioner, pharmacist, or other authorized health care professional. All subsequent tests require such an order.</w:t>
      </w:r>
    </w:p>
    <w:p w14:paraId="105F5415" w14:textId="77777777" w:rsidR="00CB5962" w:rsidRPr="00CB5962" w:rsidRDefault="00CB5962" w:rsidP="00CB5962">
      <w:pPr>
        <w:pStyle w:val="NoSpacing"/>
        <w:rPr>
          <w:rFonts w:ascii="Calibri" w:hAnsi="Calibri" w:cs="Calibri"/>
          <w:sz w:val="24"/>
          <w:szCs w:val="24"/>
        </w:rPr>
      </w:pPr>
    </w:p>
    <w:p w14:paraId="34296499"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Medicare does not cover non-diagnostic surveillance testing.</w:t>
      </w:r>
    </w:p>
    <w:p w14:paraId="3305198D" w14:textId="77777777" w:rsidR="00CB5962" w:rsidRPr="00CB5962" w:rsidRDefault="00CB5962" w:rsidP="00CB5962">
      <w:pPr>
        <w:pStyle w:val="NoSpacing"/>
        <w:rPr>
          <w:rFonts w:ascii="Calibri" w:hAnsi="Calibri" w:cs="Calibri"/>
          <w:sz w:val="24"/>
          <w:szCs w:val="24"/>
        </w:rPr>
      </w:pPr>
    </w:p>
    <w:p w14:paraId="65B1F323"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If Medicare is a secondary payer, the facility will need to check with the primary payer for billing guidance.</w:t>
      </w:r>
    </w:p>
    <w:p w14:paraId="76C97967" w14:textId="77777777" w:rsidR="00CB5962" w:rsidRPr="00CB5962" w:rsidRDefault="00CB5962" w:rsidP="00CB5962">
      <w:pPr>
        <w:pStyle w:val="NoSpacing"/>
        <w:rPr>
          <w:rFonts w:ascii="Calibri" w:hAnsi="Calibri" w:cs="Calibri"/>
          <w:sz w:val="24"/>
          <w:szCs w:val="24"/>
        </w:rPr>
      </w:pPr>
    </w:p>
    <w:p w14:paraId="2A434FA4"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See the algorithm</w:t>
      </w:r>
      <w:r w:rsidRPr="00CB5962">
        <w:rPr>
          <w:rFonts w:ascii="Calibri" w:hAnsi="Calibri" w:cs="Calibri"/>
          <w:sz w:val="24"/>
          <w:szCs w:val="24"/>
          <w:vertAlign w:val="superscript"/>
        </w:rPr>
        <w:t>1</w:t>
      </w:r>
      <w:r w:rsidRPr="00CB5962">
        <w:rPr>
          <w:rFonts w:ascii="Calibri" w:hAnsi="Calibri" w:cs="Calibri"/>
          <w:sz w:val="24"/>
          <w:szCs w:val="24"/>
        </w:rPr>
        <w:t xml:space="preserve"> “Medicare Payment for COVID-19 Viral Testing: Skilled Nursing Facility/Nursing Facility” below for further guidance.</w:t>
      </w:r>
    </w:p>
    <w:p w14:paraId="73531DB8" w14:textId="77777777" w:rsidR="00CB5962" w:rsidRPr="00CB5962" w:rsidRDefault="00CB5962" w:rsidP="00CB5962">
      <w:pPr>
        <w:pStyle w:val="NoSpacing"/>
        <w:rPr>
          <w:rFonts w:ascii="Calibri" w:hAnsi="Calibri" w:cs="Calibri"/>
          <w:sz w:val="24"/>
          <w:szCs w:val="24"/>
        </w:rPr>
      </w:pPr>
    </w:p>
    <w:p w14:paraId="56A7FF33" w14:textId="77777777" w:rsidR="00CB5962" w:rsidRPr="00CB5962" w:rsidRDefault="00CB5962" w:rsidP="00EF35DE">
      <w:pPr>
        <w:pStyle w:val="NoSpacing"/>
        <w:jc w:val="center"/>
        <w:rPr>
          <w:rFonts w:ascii="Calibri" w:hAnsi="Calibri" w:cs="Calibri"/>
          <w:sz w:val="24"/>
          <w:szCs w:val="24"/>
        </w:rPr>
      </w:pPr>
      <w:r w:rsidRPr="00CB5962">
        <w:rPr>
          <w:rFonts w:ascii="Calibri" w:hAnsi="Calibri" w:cs="Calibri"/>
          <w:noProof/>
          <w:sz w:val="24"/>
          <w:szCs w:val="24"/>
        </w:rPr>
        <w:lastRenderedPageBreak/>
        <w:drawing>
          <wp:inline distT="0" distB="0" distL="0" distR="0" wp14:anchorId="6FB09B29" wp14:editId="653D5932">
            <wp:extent cx="5943600" cy="3488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88690"/>
                    </a:xfrm>
                    <a:prstGeom prst="rect">
                      <a:avLst/>
                    </a:prstGeom>
                  </pic:spPr>
                </pic:pic>
              </a:graphicData>
            </a:graphic>
          </wp:inline>
        </w:drawing>
      </w:r>
    </w:p>
    <w:p w14:paraId="05F61BFA" w14:textId="77777777" w:rsidR="00CB5962" w:rsidRPr="00CB5962" w:rsidRDefault="00CB5962" w:rsidP="00CB5962">
      <w:pPr>
        <w:pStyle w:val="NoSpacing"/>
        <w:rPr>
          <w:rFonts w:ascii="Calibri" w:hAnsi="Calibri" w:cs="Calibri"/>
          <w:sz w:val="24"/>
          <w:szCs w:val="24"/>
        </w:rPr>
      </w:pPr>
    </w:p>
    <w:p w14:paraId="4D9BEE22" w14:textId="14F3C123" w:rsidR="00CB5962" w:rsidRPr="004E704C" w:rsidRDefault="005E78A2" w:rsidP="004E704C">
      <w:pPr>
        <w:pStyle w:val="NoSpacing"/>
        <w:jc w:val="right"/>
        <w:rPr>
          <w:rFonts w:ascii="Calibri" w:hAnsi="Calibri" w:cs="Calibri"/>
          <w:sz w:val="16"/>
          <w:szCs w:val="16"/>
        </w:rPr>
      </w:pPr>
      <w:hyperlink r:id="rId9" w:history="1">
        <w:r w:rsidR="004E704C" w:rsidRPr="004E704C">
          <w:rPr>
            <w:rStyle w:val="Hyperlink"/>
            <w:rFonts w:ascii="Calibri" w:hAnsi="Calibri" w:cs="Calibri"/>
            <w:sz w:val="16"/>
            <w:szCs w:val="16"/>
          </w:rPr>
          <w:t>https://edit.cms.gov/files/document/covid-medicare-payment-covid-19-viral-testing-flow-chart.pdf</w:t>
        </w:r>
      </w:hyperlink>
      <w:r w:rsidR="004E704C" w:rsidRPr="004E704C">
        <w:rPr>
          <w:rFonts w:ascii="Calibri" w:hAnsi="Calibri" w:cs="Calibri"/>
          <w:sz w:val="16"/>
          <w:szCs w:val="16"/>
        </w:rPr>
        <w:t xml:space="preserve"> </w:t>
      </w:r>
    </w:p>
    <w:p w14:paraId="720B5D8C" w14:textId="30D744BF" w:rsidR="00CB5962" w:rsidRDefault="00CB5962" w:rsidP="00CB5962">
      <w:pPr>
        <w:pStyle w:val="NoSpacing"/>
        <w:rPr>
          <w:rFonts w:ascii="Calibri" w:hAnsi="Calibri" w:cs="Calibri"/>
          <w:b/>
          <w:bCs/>
          <w:sz w:val="24"/>
          <w:szCs w:val="24"/>
        </w:rPr>
      </w:pPr>
      <w:r w:rsidRPr="00CB5962">
        <w:rPr>
          <w:rFonts w:ascii="Calibri" w:hAnsi="Calibri" w:cs="Calibri"/>
          <w:b/>
          <w:bCs/>
          <w:sz w:val="24"/>
          <w:szCs w:val="24"/>
        </w:rPr>
        <w:t>Medicaid</w:t>
      </w:r>
    </w:p>
    <w:p w14:paraId="4D75165F" w14:textId="77777777" w:rsidR="00CB5962" w:rsidRPr="00CB5962" w:rsidRDefault="00CB5962" w:rsidP="00CB5962">
      <w:pPr>
        <w:pStyle w:val="NoSpacing"/>
        <w:rPr>
          <w:rFonts w:ascii="Calibri" w:hAnsi="Calibri" w:cs="Calibri"/>
          <w:b/>
          <w:bCs/>
          <w:sz w:val="24"/>
          <w:szCs w:val="24"/>
        </w:rPr>
      </w:pPr>
    </w:p>
    <w:p w14:paraId="5335CBDF"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 xml:space="preserve">Medicaid may cover testing; however, facilities should direct questions regarding billing to the state-specific Medicaid agency and/or contracted Medicaid managed care plan for information on testing coverage, payment, and coding for Medicaid beneficiaries. Medicaid pays after most other payers. </w:t>
      </w:r>
    </w:p>
    <w:p w14:paraId="51DB0FC3" w14:textId="77777777" w:rsidR="00CB5962" w:rsidRPr="00CB5962" w:rsidRDefault="00CB5962" w:rsidP="00CB5962">
      <w:pPr>
        <w:pStyle w:val="NoSpacing"/>
        <w:rPr>
          <w:rFonts w:ascii="Calibri" w:hAnsi="Calibri" w:cs="Calibri"/>
          <w:sz w:val="24"/>
          <w:szCs w:val="24"/>
        </w:rPr>
      </w:pPr>
    </w:p>
    <w:p w14:paraId="5BF89F4E" w14:textId="2CFB7373" w:rsidR="00CB5962" w:rsidRPr="00CB5962" w:rsidRDefault="00CB5962" w:rsidP="00CB5962">
      <w:pPr>
        <w:pStyle w:val="NoSpacing"/>
        <w:rPr>
          <w:rFonts w:ascii="Calibri" w:hAnsi="Calibri" w:cs="Calibri"/>
          <w:b/>
          <w:bCs/>
          <w:sz w:val="24"/>
          <w:szCs w:val="24"/>
        </w:rPr>
      </w:pPr>
      <w:r w:rsidRPr="00CB5962">
        <w:rPr>
          <w:rFonts w:ascii="Calibri" w:hAnsi="Calibri" w:cs="Calibri"/>
          <w:b/>
          <w:bCs/>
          <w:sz w:val="24"/>
          <w:szCs w:val="24"/>
        </w:rPr>
        <w:t>New Optional Medicaid Eligibility Group for Uninsured Individuals</w:t>
      </w:r>
    </w:p>
    <w:p w14:paraId="6C0449A7" w14:textId="77777777" w:rsidR="00CB5962" w:rsidRPr="00CB5962" w:rsidRDefault="00CB5962" w:rsidP="00CB5962">
      <w:pPr>
        <w:pStyle w:val="NoSpacing"/>
        <w:rPr>
          <w:rFonts w:ascii="Calibri" w:hAnsi="Calibri" w:cs="Calibri"/>
          <w:b/>
          <w:bCs/>
          <w:sz w:val="24"/>
          <w:szCs w:val="24"/>
        </w:rPr>
      </w:pPr>
    </w:p>
    <w:p w14:paraId="7B8A6F18"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The Families First Coronavirus Response Act (FFCRA) and Coronavirus Aid, Relief, and Economic Security (CARES) Act added a new optional Medicaid eligibility group for uninsured individuals, effective March 18, 2020. Individuals eligible for this group receive a limited benefit package of services related to testing and diagnosis of COVID-19 during the public health emergency.</w:t>
      </w:r>
    </w:p>
    <w:p w14:paraId="08D4ED6C" w14:textId="77777777" w:rsidR="00CB5962" w:rsidRPr="00CB5962" w:rsidRDefault="00CB5962" w:rsidP="00CB5962">
      <w:pPr>
        <w:pStyle w:val="NoSpacing"/>
        <w:rPr>
          <w:rFonts w:ascii="Calibri" w:hAnsi="Calibri" w:cs="Calibri"/>
          <w:sz w:val="24"/>
          <w:szCs w:val="24"/>
        </w:rPr>
      </w:pPr>
    </w:p>
    <w:p w14:paraId="6BA50BE4"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 xml:space="preserve">Additional information on eligibility, covered benefits, and federal medical assistance percentage (FMAP) for the new COVID-19 testing group is available here: https://www.medicaid.gov/state-resource-center/downloads/covid-19-section-6008-CARES-faqs.pdf and here: </w:t>
      </w:r>
      <w:hyperlink r:id="rId10" w:history="1">
        <w:r w:rsidRPr="00CB5962">
          <w:rPr>
            <w:rStyle w:val="Hyperlink"/>
            <w:rFonts w:ascii="Calibri" w:hAnsi="Calibri" w:cs="Calibri"/>
            <w:sz w:val="24"/>
            <w:szCs w:val="24"/>
          </w:rPr>
          <w:t>https://www.medicaid.gov/state-resource-center/downloads/covid-19-faqs.pdf</w:t>
        </w:r>
      </w:hyperlink>
    </w:p>
    <w:p w14:paraId="35C62ADB" w14:textId="77777777" w:rsidR="00CB5962" w:rsidRPr="00CB5962" w:rsidRDefault="00CB5962" w:rsidP="00CB5962">
      <w:pPr>
        <w:pStyle w:val="NoSpacing"/>
        <w:rPr>
          <w:rFonts w:ascii="Calibri" w:hAnsi="Calibri" w:cs="Calibri"/>
          <w:sz w:val="24"/>
          <w:szCs w:val="24"/>
        </w:rPr>
      </w:pPr>
    </w:p>
    <w:p w14:paraId="0E66E54F" w14:textId="411B991F" w:rsidR="00CB5962" w:rsidRPr="00CB5962" w:rsidRDefault="00CB5962" w:rsidP="00CB5962">
      <w:pPr>
        <w:pStyle w:val="NoSpacing"/>
        <w:rPr>
          <w:rFonts w:ascii="Calibri" w:hAnsi="Calibri" w:cs="Calibri"/>
          <w:b/>
          <w:bCs/>
          <w:sz w:val="24"/>
          <w:szCs w:val="24"/>
        </w:rPr>
      </w:pPr>
      <w:r w:rsidRPr="00CB5962">
        <w:rPr>
          <w:rFonts w:ascii="Calibri" w:hAnsi="Calibri" w:cs="Calibri"/>
          <w:b/>
          <w:bCs/>
          <w:sz w:val="24"/>
          <w:szCs w:val="24"/>
        </w:rPr>
        <w:lastRenderedPageBreak/>
        <w:t>Uninsured</w:t>
      </w:r>
    </w:p>
    <w:p w14:paraId="1C77C1B2" w14:textId="77777777" w:rsidR="00CB5962" w:rsidRPr="00CB5962" w:rsidRDefault="00CB5962" w:rsidP="00CB5962">
      <w:pPr>
        <w:pStyle w:val="NoSpacing"/>
        <w:rPr>
          <w:rFonts w:ascii="Calibri" w:hAnsi="Calibri" w:cs="Calibri"/>
          <w:b/>
          <w:bCs/>
          <w:sz w:val="24"/>
          <w:szCs w:val="24"/>
        </w:rPr>
      </w:pPr>
    </w:p>
    <w:p w14:paraId="394E93C5"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The Health Resources and Services Administration (HRSA) COVID-19 Claims Reimbursement to Health Care Providers and Facilities Testing and Treatment of the Uninsured Program “provides reimbursement directly to eligible providers for COVID-19 testing and treatment services furnished to uninsured individuals. Reimbursement is generally made at the Medicare payment rate.</w:t>
      </w:r>
    </w:p>
    <w:p w14:paraId="1687B8B2" w14:textId="77777777" w:rsidR="00CB5962" w:rsidRPr="00CB5962" w:rsidRDefault="00CB5962" w:rsidP="00CB5962">
      <w:pPr>
        <w:pStyle w:val="NoSpacing"/>
        <w:rPr>
          <w:rFonts w:ascii="Calibri" w:hAnsi="Calibri" w:cs="Calibri"/>
          <w:sz w:val="24"/>
          <w:szCs w:val="24"/>
        </w:rPr>
      </w:pPr>
    </w:p>
    <w:p w14:paraId="6FC54D1E"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“To access these funds, providers must enroll in the program as a provider participant, sign the terms and conditions of the program, check patient eligibility, and submit patient information. Once they have done so, they can submit claims for direct reimbursement for COVID-19 testing and treatment services furnished to uninsured individuals on or after February 4, 2020.</w:t>
      </w:r>
    </w:p>
    <w:p w14:paraId="7F2C6A89" w14:textId="77777777" w:rsidR="00CB5962" w:rsidRPr="00CB5962" w:rsidRDefault="00CB5962" w:rsidP="00CB5962">
      <w:pPr>
        <w:pStyle w:val="NoSpacing"/>
        <w:rPr>
          <w:rFonts w:ascii="Calibri" w:hAnsi="Calibri" w:cs="Calibri"/>
          <w:sz w:val="24"/>
          <w:szCs w:val="24"/>
        </w:rPr>
      </w:pPr>
    </w:p>
    <w:p w14:paraId="660006AC"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“Providers must verify and attest that to the best of the provider’s knowledge at the time of claim submission, the patient was uninsured at the time the services were provided. If the provider subsequently receives reimbursement for any items from other coverage, the provider must return the payment that duplicates other reimbursement to HRSA.</w:t>
      </w:r>
    </w:p>
    <w:p w14:paraId="2A0CECE5" w14:textId="77777777" w:rsidR="00CB5962" w:rsidRPr="00CB5962" w:rsidRDefault="00CB5962" w:rsidP="00CB5962">
      <w:pPr>
        <w:pStyle w:val="NoSpacing"/>
        <w:rPr>
          <w:rFonts w:ascii="Calibri" w:hAnsi="Calibri" w:cs="Calibri"/>
          <w:sz w:val="24"/>
          <w:szCs w:val="24"/>
        </w:rPr>
      </w:pPr>
    </w:p>
    <w:p w14:paraId="4CE8E30F" w14:textId="77777777" w:rsidR="00CB5962" w:rsidRPr="00CB5962" w:rsidRDefault="00CB5962" w:rsidP="00CB5962">
      <w:pPr>
        <w:pStyle w:val="NoSpacing"/>
        <w:rPr>
          <w:rFonts w:ascii="Calibri" w:hAnsi="Calibri" w:cs="Calibri"/>
          <w:sz w:val="24"/>
          <w:szCs w:val="24"/>
          <w:vertAlign w:val="superscript"/>
        </w:rPr>
      </w:pPr>
      <w:r w:rsidRPr="00CB5962">
        <w:rPr>
          <w:rFonts w:ascii="Calibri" w:hAnsi="Calibri" w:cs="Calibri"/>
          <w:sz w:val="24"/>
          <w:szCs w:val="24"/>
        </w:rPr>
        <w:t xml:space="preserve">“Additional information is available here: </w:t>
      </w:r>
      <w:hyperlink r:id="rId11" w:history="1">
        <w:r w:rsidRPr="00CB5962">
          <w:rPr>
            <w:rStyle w:val="Hyperlink"/>
            <w:rFonts w:ascii="Calibri" w:hAnsi="Calibri" w:cs="Calibri"/>
            <w:sz w:val="24"/>
            <w:szCs w:val="24"/>
          </w:rPr>
          <w:t>https://www.hrsa.gov/coviduninsuredclaim/frequently-asked-questions</w:t>
        </w:r>
      </w:hyperlink>
      <w:r w:rsidRPr="00CB5962">
        <w:rPr>
          <w:rFonts w:ascii="Calibri" w:hAnsi="Calibri" w:cs="Calibri"/>
          <w:sz w:val="24"/>
          <w:szCs w:val="24"/>
        </w:rPr>
        <w:t xml:space="preserve"> “</w:t>
      </w:r>
      <w:r w:rsidRPr="00CB5962">
        <w:rPr>
          <w:rFonts w:ascii="Calibri" w:hAnsi="Calibri" w:cs="Calibri"/>
          <w:sz w:val="24"/>
          <w:szCs w:val="24"/>
          <w:vertAlign w:val="superscript"/>
        </w:rPr>
        <w:t>1</w:t>
      </w:r>
    </w:p>
    <w:p w14:paraId="1D5B966F" w14:textId="77777777" w:rsidR="00CB5962" w:rsidRPr="00CB5962" w:rsidRDefault="00CB5962" w:rsidP="00CB5962">
      <w:pPr>
        <w:pStyle w:val="NoSpacing"/>
        <w:rPr>
          <w:rFonts w:ascii="Calibri" w:hAnsi="Calibri" w:cs="Calibri"/>
          <w:sz w:val="24"/>
          <w:szCs w:val="24"/>
        </w:rPr>
      </w:pPr>
    </w:p>
    <w:p w14:paraId="5DA6EDF3" w14:textId="2B4B7030" w:rsidR="00CB5962" w:rsidRPr="00CB5962" w:rsidRDefault="00CB5962" w:rsidP="00CB5962">
      <w:pPr>
        <w:pStyle w:val="NoSpacing"/>
        <w:rPr>
          <w:rFonts w:ascii="Calibri" w:hAnsi="Calibri" w:cs="Calibri"/>
          <w:b/>
          <w:bCs/>
          <w:sz w:val="24"/>
          <w:szCs w:val="24"/>
        </w:rPr>
      </w:pPr>
      <w:r w:rsidRPr="00CB5962">
        <w:rPr>
          <w:rFonts w:ascii="Calibri" w:hAnsi="Calibri" w:cs="Calibri"/>
          <w:b/>
          <w:bCs/>
          <w:sz w:val="24"/>
          <w:szCs w:val="24"/>
        </w:rPr>
        <w:t>Private Insurance</w:t>
      </w:r>
    </w:p>
    <w:p w14:paraId="68036402" w14:textId="77777777" w:rsidR="00CB5962" w:rsidRPr="00CB5962" w:rsidRDefault="00CB5962" w:rsidP="00CB5962">
      <w:pPr>
        <w:pStyle w:val="NoSpacing"/>
        <w:rPr>
          <w:rFonts w:ascii="Calibri" w:hAnsi="Calibri" w:cs="Calibri"/>
          <w:b/>
          <w:bCs/>
          <w:sz w:val="24"/>
          <w:szCs w:val="24"/>
        </w:rPr>
      </w:pPr>
    </w:p>
    <w:p w14:paraId="65208DAC"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 xml:space="preserve">“Section 6001 of the Families First Coronavirus Response Act (FFCRA) generally requires group health plans and health insurance issuers to provide benefits for certain items and services related to testing for the detection or the diagnosis of COVID-19 when those items or services are furnished on or after March 18, 2020, and during the public health emergency. </w:t>
      </w:r>
    </w:p>
    <w:p w14:paraId="2CE7DD5F" w14:textId="77777777" w:rsidR="00CB5962" w:rsidRPr="00CB5962" w:rsidRDefault="00CB5962" w:rsidP="00CB5962">
      <w:pPr>
        <w:pStyle w:val="NoSpacing"/>
        <w:rPr>
          <w:rFonts w:ascii="Calibri" w:hAnsi="Calibri" w:cs="Calibri"/>
          <w:sz w:val="24"/>
          <w:szCs w:val="24"/>
        </w:rPr>
      </w:pPr>
    </w:p>
    <w:p w14:paraId="56244FD7"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 xml:space="preserve">“Under FFCRA, plans and issuers must provide this coverage without imposing any cost-sharing requirements (including deductibles, copayments, and coinsurance), prior authorization, or other medical management requirements. </w:t>
      </w:r>
    </w:p>
    <w:p w14:paraId="4A17CC23" w14:textId="77777777" w:rsidR="00CB5962" w:rsidRPr="00CB5962" w:rsidRDefault="00CB5962" w:rsidP="00CB5962">
      <w:pPr>
        <w:pStyle w:val="NoSpacing"/>
        <w:rPr>
          <w:rFonts w:ascii="Calibri" w:hAnsi="Calibri" w:cs="Calibri"/>
          <w:sz w:val="24"/>
          <w:szCs w:val="24"/>
        </w:rPr>
      </w:pPr>
    </w:p>
    <w:p w14:paraId="0DFF3D2D"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 xml:space="preserve">“Section 3201 of the Coronavirus Aid, Relief, and Economic Security (CARES) Act amended section 6001 of the FFCRA to include a broader range of diagnostic tests that plans and issuers must cover without any cost-sharing requirements, prior authorization, or other medical management requirements. </w:t>
      </w:r>
    </w:p>
    <w:p w14:paraId="13DA8E63" w14:textId="77777777" w:rsidR="00CB5962" w:rsidRPr="00CB5962" w:rsidRDefault="00CB5962" w:rsidP="00CB5962">
      <w:pPr>
        <w:pStyle w:val="NoSpacing"/>
        <w:rPr>
          <w:rFonts w:ascii="Calibri" w:hAnsi="Calibri" w:cs="Calibri"/>
          <w:sz w:val="24"/>
          <w:szCs w:val="24"/>
        </w:rPr>
      </w:pPr>
    </w:p>
    <w:p w14:paraId="429537CB"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 xml:space="preserve">“Section 3202(a) of the CARES Act generally requires plans and issuers providing coverage for these items and services to reimburse any provider of COVID-19 diagnostic testing an amount that equals the negotiated rate or, if the plan or issuer does not have a negotiated rate with the </w:t>
      </w:r>
      <w:r w:rsidRPr="00CB5962">
        <w:rPr>
          <w:rFonts w:ascii="Calibri" w:hAnsi="Calibri" w:cs="Calibri"/>
          <w:sz w:val="24"/>
          <w:szCs w:val="24"/>
        </w:rPr>
        <w:lastRenderedPageBreak/>
        <w:t xml:space="preserve">provider, the cash price for such service that is listed by the provider on a public website. (The plan or issuer may negotiate a rate with the provider that is lower than the cash price.) </w:t>
      </w:r>
    </w:p>
    <w:p w14:paraId="718A39B0" w14:textId="77777777" w:rsidR="00CB5962" w:rsidRPr="00CB5962" w:rsidRDefault="00CB5962" w:rsidP="00CB5962">
      <w:pPr>
        <w:pStyle w:val="NoSpacing"/>
        <w:rPr>
          <w:rFonts w:ascii="Calibri" w:hAnsi="Calibri" w:cs="Calibri"/>
          <w:sz w:val="24"/>
          <w:szCs w:val="24"/>
        </w:rPr>
      </w:pPr>
    </w:p>
    <w:p w14:paraId="5ED4180F"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 xml:space="preserve">“Additionally, during the public health emergency, section 3202(b) of the CARES Act requires providers of diagnostic tests for COVID-19 to make public the cash price of a COVID-19 diagnostic test on the provider’s public internet website or face potential enforcement action including civil monetary penalties. </w:t>
      </w:r>
    </w:p>
    <w:p w14:paraId="09ABF2DC" w14:textId="77777777" w:rsidR="00CB5962" w:rsidRPr="00CB5962" w:rsidRDefault="00CB5962" w:rsidP="00CB5962">
      <w:pPr>
        <w:pStyle w:val="NoSpacing"/>
        <w:rPr>
          <w:rFonts w:ascii="Calibri" w:hAnsi="Calibri" w:cs="Calibri"/>
          <w:sz w:val="24"/>
          <w:szCs w:val="24"/>
        </w:rPr>
      </w:pPr>
    </w:p>
    <w:p w14:paraId="24909B9E"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 xml:space="preserve">“Health insurance issuers and group health plans must cover COVID-19 diagnostic testing as determined medically appropriate by the individual’s health care provider, consulting CDC guidelines as appropriate. </w:t>
      </w:r>
    </w:p>
    <w:p w14:paraId="5AAED0FE" w14:textId="77777777" w:rsidR="00CB5962" w:rsidRPr="00CB5962" w:rsidRDefault="00CB5962" w:rsidP="00CB5962">
      <w:pPr>
        <w:pStyle w:val="NoSpacing"/>
        <w:rPr>
          <w:rFonts w:ascii="Calibri" w:hAnsi="Calibri" w:cs="Calibri"/>
          <w:sz w:val="24"/>
          <w:szCs w:val="24"/>
        </w:rPr>
      </w:pPr>
    </w:p>
    <w:p w14:paraId="7F947CE2"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 xml:space="preserve">“Health insurance issuers and group health plans are not required to cover non-diagnostic tests (i.e., testing done for public health surveillance purposes) without cost-sharing. </w:t>
      </w:r>
    </w:p>
    <w:p w14:paraId="7E87D76B" w14:textId="77777777" w:rsidR="00CB5962" w:rsidRPr="00CB5962" w:rsidRDefault="00CB5962" w:rsidP="00CB5962">
      <w:pPr>
        <w:pStyle w:val="NoSpacing"/>
        <w:rPr>
          <w:rFonts w:ascii="Calibri" w:hAnsi="Calibri" w:cs="Calibri"/>
          <w:sz w:val="24"/>
          <w:szCs w:val="24"/>
        </w:rPr>
      </w:pPr>
    </w:p>
    <w:p w14:paraId="3C6024AC"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 xml:space="preserve">“Additional information is available here, including information on which tests are required to be covered: </w:t>
      </w:r>
      <w:hyperlink r:id="rId12" w:history="1">
        <w:r w:rsidRPr="00CB5962">
          <w:rPr>
            <w:rStyle w:val="Hyperlink"/>
            <w:rFonts w:ascii="Calibri" w:hAnsi="Calibri" w:cs="Calibri"/>
            <w:sz w:val="24"/>
            <w:szCs w:val="24"/>
          </w:rPr>
          <w:t>https://www.cms.gov/files/document/FFCRA-Part-43-FAQs.pdf</w:t>
        </w:r>
      </w:hyperlink>
      <w:r w:rsidRPr="00CB5962">
        <w:rPr>
          <w:rFonts w:ascii="Calibri" w:hAnsi="Calibri" w:cs="Calibri"/>
          <w:sz w:val="24"/>
          <w:szCs w:val="24"/>
        </w:rPr>
        <w:t xml:space="preserve"> ”</w:t>
      </w:r>
      <w:r w:rsidRPr="00CB5962">
        <w:rPr>
          <w:rFonts w:ascii="Calibri" w:hAnsi="Calibri" w:cs="Calibri"/>
          <w:sz w:val="24"/>
          <w:szCs w:val="24"/>
          <w:vertAlign w:val="superscript"/>
        </w:rPr>
        <w:t>2</w:t>
      </w:r>
    </w:p>
    <w:p w14:paraId="3A428ACA" w14:textId="77777777" w:rsidR="00EF35DE" w:rsidRDefault="00EF35DE" w:rsidP="00CB5962">
      <w:pPr>
        <w:pStyle w:val="NoSpacing"/>
        <w:rPr>
          <w:rFonts w:ascii="Calibri" w:hAnsi="Calibri" w:cs="Calibri"/>
          <w:b/>
          <w:bCs/>
          <w:sz w:val="24"/>
          <w:szCs w:val="24"/>
        </w:rPr>
      </w:pPr>
    </w:p>
    <w:p w14:paraId="735615C9" w14:textId="29E1107E" w:rsidR="00CB5962" w:rsidRPr="00CB5962" w:rsidRDefault="00CB5962" w:rsidP="00CB5962">
      <w:pPr>
        <w:pStyle w:val="NoSpacing"/>
        <w:rPr>
          <w:rFonts w:ascii="Calibri" w:hAnsi="Calibri" w:cs="Calibri"/>
          <w:b/>
          <w:bCs/>
          <w:sz w:val="24"/>
          <w:szCs w:val="24"/>
        </w:rPr>
      </w:pPr>
      <w:r w:rsidRPr="00CB5962">
        <w:rPr>
          <w:rFonts w:ascii="Calibri" w:hAnsi="Calibri" w:cs="Calibri"/>
          <w:b/>
          <w:bCs/>
          <w:sz w:val="24"/>
          <w:szCs w:val="24"/>
        </w:rPr>
        <w:t>Additional Funding Sources</w:t>
      </w:r>
    </w:p>
    <w:p w14:paraId="488EB37C" w14:textId="77777777" w:rsidR="00CB5962" w:rsidRPr="00CB5962" w:rsidRDefault="00CB5962" w:rsidP="00CB5962">
      <w:pPr>
        <w:pStyle w:val="NoSpacing"/>
        <w:rPr>
          <w:rFonts w:ascii="Calibri" w:hAnsi="Calibri" w:cs="Calibri"/>
          <w:b/>
          <w:bCs/>
          <w:sz w:val="24"/>
          <w:szCs w:val="24"/>
        </w:rPr>
      </w:pPr>
    </w:p>
    <w:p w14:paraId="25887271"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 xml:space="preserve">The CDC awarded funds and provided guidance to state and local jurisdictions to help them access </w:t>
      </w:r>
      <w:r w:rsidRPr="00CB5962">
        <w:rPr>
          <w:rFonts w:ascii="Calibri" w:hAnsi="Calibri" w:cs="Calibri"/>
          <w:b/>
          <w:bCs/>
          <w:sz w:val="24"/>
          <w:szCs w:val="24"/>
        </w:rPr>
        <w:t>CDC Preparedness and Response Supplemental Funding</w:t>
      </w:r>
      <w:r w:rsidRPr="00CB5962">
        <w:rPr>
          <w:rFonts w:ascii="Calibri" w:hAnsi="Calibri" w:cs="Calibri"/>
          <w:sz w:val="24"/>
          <w:szCs w:val="24"/>
        </w:rPr>
        <w:t xml:space="preserve"> as well as </w:t>
      </w:r>
      <w:r w:rsidRPr="00CB5962">
        <w:rPr>
          <w:rFonts w:ascii="Calibri" w:hAnsi="Calibri" w:cs="Calibri"/>
          <w:b/>
          <w:bCs/>
          <w:sz w:val="24"/>
          <w:szCs w:val="24"/>
        </w:rPr>
        <w:t>CARES Act</w:t>
      </w:r>
      <w:r w:rsidRPr="00CB5962">
        <w:rPr>
          <w:rFonts w:ascii="Calibri" w:hAnsi="Calibri" w:cs="Calibri"/>
          <w:sz w:val="24"/>
          <w:szCs w:val="24"/>
        </w:rPr>
        <w:t xml:space="preserve"> funding in support of COVID-19 Response. “This funding may be used for a variety of activities including:</w:t>
      </w:r>
    </w:p>
    <w:p w14:paraId="7E9B1D15" w14:textId="77777777" w:rsidR="00CB5962" w:rsidRPr="00CB5962" w:rsidRDefault="00CB5962" w:rsidP="00CB5962">
      <w:pPr>
        <w:pStyle w:val="NoSpacing"/>
        <w:rPr>
          <w:rFonts w:ascii="Calibri" w:hAnsi="Calibri" w:cs="Calibri"/>
          <w:sz w:val="24"/>
          <w:szCs w:val="24"/>
        </w:rPr>
      </w:pPr>
    </w:p>
    <w:p w14:paraId="1FB7AC23" w14:textId="77777777" w:rsidR="00CB5962" w:rsidRPr="00CB5962" w:rsidRDefault="00CB5962" w:rsidP="00CB5962">
      <w:pPr>
        <w:pStyle w:val="NoSpacing"/>
        <w:numPr>
          <w:ilvl w:val="0"/>
          <w:numId w:val="40"/>
        </w:numPr>
        <w:rPr>
          <w:rFonts w:ascii="Calibri" w:hAnsi="Calibri" w:cs="Calibri"/>
          <w:sz w:val="24"/>
          <w:szCs w:val="24"/>
        </w:rPr>
      </w:pPr>
      <w:r w:rsidRPr="00CB5962">
        <w:rPr>
          <w:rFonts w:ascii="Calibri" w:hAnsi="Calibri" w:cs="Calibri"/>
          <w:sz w:val="24"/>
          <w:szCs w:val="24"/>
        </w:rPr>
        <w:t xml:space="preserve">Enhancing testing capacity. </w:t>
      </w:r>
    </w:p>
    <w:p w14:paraId="645377C8" w14:textId="77777777" w:rsidR="00CB5962" w:rsidRPr="00CB5962" w:rsidRDefault="00CB5962" w:rsidP="00CB5962">
      <w:pPr>
        <w:pStyle w:val="NoSpacing"/>
        <w:numPr>
          <w:ilvl w:val="0"/>
          <w:numId w:val="40"/>
        </w:numPr>
        <w:rPr>
          <w:rFonts w:ascii="Calibri" w:hAnsi="Calibri" w:cs="Calibri"/>
          <w:sz w:val="24"/>
          <w:szCs w:val="24"/>
        </w:rPr>
      </w:pPr>
      <w:r w:rsidRPr="00CB5962">
        <w:rPr>
          <w:rFonts w:ascii="Calibri" w:hAnsi="Calibri" w:cs="Calibri"/>
          <w:sz w:val="24"/>
          <w:szCs w:val="24"/>
        </w:rPr>
        <w:t xml:space="preserve">Establishing or enhancing the ability to aggressively identify cases, conduct contact tracing and follow up, as well as implement appropriate containment measures. </w:t>
      </w:r>
    </w:p>
    <w:p w14:paraId="71270EEB" w14:textId="77777777" w:rsidR="00CB5962" w:rsidRPr="00CB5962" w:rsidRDefault="00CB5962" w:rsidP="00CB5962">
      <w:pPr>
        <w:pStyle w:val="NoSpacing"/>
        <w:numPr>
          <w:ilvl w:val="0"/>
          <w:numId w:val="40"/>
        </w:numPr>
        <w:rPr>
          <w:rFonts w:ascii="Calibri" w:hAnsi="Calibri" w:cs="Calibri"/>
          <w:sz w:val="24"/>
          <w:szCs w:val="24"/>
        </w:rPr>
      </w:pPr>
      <w:r w:rsidRPr="00CB5962">
        <w:rPr>
          <w:rFonts w:ascii="Calibri" w:hAnsi="Calibri" w:cs="Calibri"/>
          <w:sz w:val="24"/>
          <w:szCs w:val="24"/>
        </w:rPr>
        <w:t>Controlling COVID-19 in high-risk settings and protect vulnerable or high-risk populations.</w:t>
      </w:r>
    </w:p>
    <w:p w14:paraId="0274305B" w14:textId="77777777" w:rsidR="00CB5962" w:rsidRPr="00CB5962" w:rsidRDefault="00CB5962" w:rsidP="00CB5962">
      <w:pPr>
        <w:pStyle w:val="NoSpacing"/>
        <w:numPr>
          <w:ilvl w:val="0"/>
          <w:numId w:val="40"/>
        </w:numPr>
        <w:rPr>
          <w:rFonts w:ascii="Calibri" w:hAnsi="Calibri" w:cs="Calibri"/>
          <w:sz w:val="24"/>
          <w:szCs w:val="24"/>
        </w:rPr>
      </w:pPr>
      <w:r w:rsidRPr="00CB5962">
        <w:rPr>
          <w:rFonts w:ascii="Calibri" w:hAnsi="Calibri" w:cs="Calibri"/>
          <w:sz w:val="24"/>
          <w:szCs w:val="24"/>
        </w:rPr>
        <w:t xml:space="preserve">Improving morbidity and mortality surveillance. </w:t>
      </w:r>
    </w:p>
    <w:p w14:paraId="3E6FC496" w14:textId="77777777" w:rsidR="00CB5962" w:rsidRPr="00CB5962" w:rsidRDefault="00CB5962" w:rsidP="00CB5962">
      <w:pPr>
        <w:pStyle w:val="NoSpacing"/>
        <w:numPr>
          <w:ilvl w:val="0"/>
          <w:numId w:val="40"/>
        </w:numPr>
        <w:rPr>
          <w:rFonts w:ascii="Calibri" w:hAnsi="Calibri" w:cs="Calibri"/>
          <w:sz w:val="24"/>
          <w:szCs w:val="24"/>
        </w:rPr>
      </w:pPr>
      <w:r w:rsidRPr="00CB5962">
        <w:rPr>
          <w:rFonts w:ascii="Calibri" w:hAnsi="Calibri" w:cs="Calibri"/>
          <w:sz w:val="24"/>
          <w:szCs w:val="24"/>
        </w:rPr>
        <w:t>Working with healthcare systems to manage and monitor system capacity.”</w:t>
      </w:r>
      <w:r w:rsidRPr="00CB5962">
        <w:rPr>
          <w:rFonts w:ascii="Calibri" w:hAnsi="Calibri" w:cs="Calibri"/>
          <w:sz w:val="24"/>
          <w:szCs w:val="24"/>
          <w:vertAlign w:val="superscript"/>
        </w:rPr>
        <w:t>3</w:t>
      </w:r>
    </w:p>
    <w:p w14:paraId="60D58ACE" w14:textId="77777777" w:rsidR="00CB5962" w:rsidRPr="00CB5962" w:rsidRDefault="00CB5962" w:rsidP="00CB5962">
      <w:pPr>
        <w:pStyle w:val="NoSpacing"/>
        <w:rPr>
          <w:rFonts w:ascii="Calibri" w:hAnsi="Calibri" w:cs="Calibri"/>
          <w:sz w:val="24"/>
          <w:szCs w:val="24"/>
        </w:rPr>
      </w:pPr>
    </w:p>
    <w:p w14:paraId="7B3AE948"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Facilities should contact state and local public health agencies for further information on how their state is using these funds.</w:t>
      </w:r>
    </w:p>
    <w:p w14:paraId="1E14774E" w14:textId="77777777" w:rsidR="00CB5962" w:rsidRPr="00CB5962" w:rsidRDefault="00CB5962" w:rsidP="00CB5962">
      <w:pPr>
        <w:pStyle w:val="NoSpacing"/>
        <w:rPr>
          <w:rFonts w:ascii="Calibri" w:hAnsi="Calibri" w:cs="Calibri"/>
          <w:sz w:val="24"/>
          <w:szCs w:val="24"/>
        </w:rPr>
      </w:pPr>
    </w:p>
    <w:p w14:paraId="1231A077"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t xml:space="preserve">The Department of Health and Human Services (HHS) through its </w:t>
      </w:r>
      <w:r w:rsidRPr="00CB5962">
        <w:rPr>
          <w:rFonts w:ascii="Calibri" w:hAnsi="Calibri" w:cs="Calibri"/>
          <w:b/>
          <w:bCs/>
          <w:sz w:val="24"/>
          <w:szCs w:val="24"/>
        </w:rPr>
        <w:t xml:space="preserve">Provider Relief Fund </w:t>
      </w:r>
      <w:r w:rsidRPr="00CB5962">
        <w:rPr>
          <w:rFonts w:ascii="Calibri" w:hAnsi="Calibri" w:cs="Calibri"/>
          <w:sz w:val="24"/>
          <w:szCs w:val="24"/>
        </w:rPr>
        <w:t>makes payments to facilities and providers to provide financial relief in response to the COVID-19 pandemic. These funds must be used for increased healthcare related expenses or lost revenue attributable to coronavirus and covers a broad range of unreimbursed expenses.</w:t>
      </w:r>
    </w:p>
    <w:p w14:paraId="14E5A064" w14:textId="77777777" w:rsidR="00CB5962" w:rsidRPr="00CB5962" w:rsidRDefault="00CB5962" w:rsidP="00CB5962">
      <w:pPr>
        <w:pStyle w:val="NoSpacing"/>
        <w:rPr>
          <w:rFonts w:ascii="Calibri" w:hAnsi="Calibri" w:cs="Calibri"/>
          <w:sz w:val="24"/>
          <w:szCs w:val="24"/>
        </w:rPr>
      </w:pPr>
    </w:p>
    <w:p w14:paraId="4846E7C8" w14:textId="6A7CEEA1"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rPr>
        <w:lastRenderedPageBreak/>
        <w:t xml:space="preserve">Additional information on eligibility, payment formulas, and distribution timelines is available at: </w:t>
      </w:r>
      <w:hyperlink r:id="rId13" w:history="1"/>
      <w:r w:rsidR="000F7C75">
        <w:rPr>
          <w:rStyle w:val="Hyperlink"/>
          <w:rFonts w:ascii="Calibri" w:hAnsi="Calibri" w:cs="Calibri"/>
          <w:sz w:val="24"/>
          <w:szCs w:val="24"/>
        </w:rPr>
        <w:t xml:space="preserve"> </w:t>
      </w:r>
      <w:hyperlink r:id="rId14" w:history="1">
        <w:r w:rsidR="000F7C75" w:rsidRPr="00834DCC">
          <w:rPr>
            <w:rStyle w:val="Hyperlink"/>
            <w:rFonts w:ascii="Calibri" w:hAnsi="Calibri" w:cs="Calibri"/>
            <w:sz w:val="24"/>
            <w:szCs w:val="24"/>
          </w:rPr>
          <w:t>https://www.hhs.gov/coronavirus/cares-act-provider-relief-fund/index.html</w:t>
        </w:r>
      </w:hyperlink>
      <w:r w:rsidR="000F7C75">
        <w:rPr>
          <w:rStyle w:val="Hyperlink"/>
          <w:rFonts w:ascii="Calibri" w:hAnsi="Calibri" w:cs="Calibri"/>
          <w:sz w:val="24"/>
          <w:szCs w:val="24"/>
        </w:rPr>
        <w:t xml:space="preserve"> </w:t>
      </w:r>
    </w:p>
    <w:p w14:paraId="6336BA1F" w14:textId="77777777" w:rsidR="00CB5962" w:rsidRPr="00CB5962" w:rsidRDefault="00CB5962" w:rsidP="00CB5962">
      <w:pPr>
        <w:pStyle w:val="NoSpacing"/>
        <w:rPr>
          <w:rFonts w:ascii="Calibri" w:hAnsi="Calibri" w:cs="Calibri"/>
          <w:sz w:val="24"/>
          <w:szCs w:val="24"/>
        </w:rPr>
      </w:pPr>
    </w:p>
    <w:p w14:paraId="20167B83" w14:textId="77777777" w:rsidR="00CB5962" w:rsidRPr="00CB5962" w:rsidRDefault="00CB5962" w:rsidP="00CB5962">
      <w:pPr>
        <w:pStyle w:val="NoSpacing"/>
        <w:rPr>
          <w:rFonts w:ascii="Calibri" w:hAnsi="Calibri" w:cs="Calibri"/>
          <w:b/>
          <w:bCs/>
          <w:sz w:val="24"/>
          <w:szCs w:val="24"/>
        </w:rPr>
      </w:pPr>
      <w:r w:rsidRPr="00CB5962">
        <w:rPr>
          <w:rFonts w:ascii="Calibri" w:hAnsi="Calibri" w:cs="Calibri"/>
          <w:b/>
          <w:bCs/>
          <w:sz w:val="24"/>
          <w:szCs w:val="24"/>
        </w:rPr>
        <w:t>References</w:t>
      </w:r>
    </w:p>
    <w:p w14:paraId="198D0DF5" w14:textId="77777777" w:rsidR="00CB5962" w:rsidRPr="00CB5962" w:rsidRDefault="00CB5962" w:rsidP="00CB5962">
      <w:pPr>
        <w:pStyle w:val="NoSpacing"/>
        <w:rPr>
          <w:rFonts w:ascii="Calibri" w:hAnsi="Calibri" w:cs="Calibri"/>
          <w:b/>
          <w:bCs/>
          <w:sz w:val="24"/>
          <w:szCs w:val="24"/>
        </w:rPr>
      </w:pPr>
    </w:p>
    <w:p w14:paraId="535D40C7" w14:textId="77777777" w:rsidR="00CB5962" w:rsidRPr="00CB5962" w:rsidRDefault="00CB5962" w:rsidP="00CB5962">
      <w:pPr>
        <w:pStyle w:val="NoSpacing"/>
        <w:rPr>
          <w:rFonts w:ascii="Calibri" w:hAnsi="Calibri" w:cs="Calibri"/>
          <w:sz w:val="24"/>
          <w:szCs w:val="24"/>
        </w:rPr>
      </w:pPr>
      <w:r w:rsidRPr="00CB5962">
        <w:rPr>
          <w:rFonts w:ascii="Calibri" w:hAnsi="Calibri" w:cs="Calibri"/>
          <w:sz w:val="24"/>
          <w:szCs w:val="24"/>
          <w:vertAlign w:val="superscript"/>
        </w:rPr>
        <w:t>1,2,3</w:t>
      </w:r>
      <w:r w:rsidRPr="00CB5962">
        <w:rPr>
          <w:rFonts w:ascii="Calibri" w:hAnsi="Calibri" w:cs="Calibri"/>
          <w:sz w:val="24"/>
          <w:szCs w:val="24"/>
        </w:rPr>
        <w:t xml:space="preserve"> Medicare Payment for COVID-19 Viral Testing: Skilled Nursing Facility/Nursing Facility </w:t>
      </w:r>
      <w:hyperlink r:id="rId15" w:history="1">
        <w:r w:rsidRPr="00CB5962">
          <w:rPr>
            <w:rStyle w:val="Hyperlink"/>
            <w:rFonts w:ascii="Calibri" w:hAnsi="Calibri" w:cs="Calibri"/>
            <w:sz w:val="24"/>
            <w:szCs w:val="24"/>
          </w:rPr>
          <w:t>https://edit.cms.gov/files/document/covid-medicare-payment-covid-19-viral-testing-flow-chart.pdf</w:t>
        </w:r>
      </w:hyperlink>
    </w:p>
    <w:p w14:paraId="3B8AE4CA" w14:textId="77777777" w:rsidR="00CB5962" w:rsidRPr="00CB5962" w:rsidRDefault="00CB5962" w:rsidP="00CB5962">
      <w:pPr>
        <w:pStyle w:val="NoSpacing"/>
        <w:rPr>
          <w:rFonts w:ascii="Calibri" w:hAnsi="Calibri" w:cs="Calibri"/>
          <w:sz w:val="24"/>
          <w:szCs w:val="24"/>
        </w:rPr>
      </w:pPr>
    </w:p>
    <w:p w14:paraId="5A77F2B2" w14:textId="77777777" w:rsidR="00CB5962" w:rsidRPr="00CB5962" w:rsidRDefault="00CB5962" w:rsidP="00CB5962">
      <w:pPr>
        <w:pStyle w:val="NoSpacing"/>
        <w:rPr>
          <w:rFonts w:ascii="Calibri" w:hAnsi="Calibri" w:cs="Calibri"/>
          <w:b/>
          <w:bCs/>
          <w:sz w:val="24"/>
          <w:szCs w:val="24"/>
        </w:rPr>
      </w:pPr>
      <w:r w:rsidRPr="00CB5962">
        <w:rPr>
          <w:rFonts w:ascii="Calibri" w:hAnsi="Calibri" w:cs="Calibri"/>
          <w:b/>
          <w:bCs/>
          <w:sz w:val="24"/>
          <w:szCs w:val="24"/>
        </w:rPr>
        <w:t>Resources</w:t>
      </w:r>
    </w:p>
    <w:p w14:paraId="46A68449" w14:textId="77777777" w:rsidR="00CB5962" w:rsidRPr="00CB5962" w:rsidRDefault="00CB5962" w:rsidP="00CB5962">
      <w:pPr>
        <w:pStyle w:val="NoSpacing"/>
        <w:rPr>
          <w:rFonts w:ascii="Calibri" w:hAnsi="Calibri" w:cs="Calibri"/>
          <w:b/>
          <w:bCs/>
          <w:sz w:val="24"/>
          <w:szCs w:val="24"/>
        </w:rPr>
      </w:pPr>
    </w:p>
    <w:p w14:paraId="5D6E524B" w14:textId="7CA75E0A" w:rsidR="00CB5962" w:rsidRPr="00CB5962" w:rsidRDefault="004E704C" w:rsidP="00CB5962">
      <w:pPr>
        <w:pStyle w:val="NoSpacing"/>
        <w:rPr>
          <w:rFonts w:ascii="Calibri" w:hAnsi="Calibri" w:cs="Calibri"/>
          <w:sz w:val="24"/>
          <w:szCs w:val="24"/>
        </w:rPr>
      </w:pPr>
      <w:r>
        <w:rPr>
          <w:rFonts w:ascii="Calibri" w:hAnsi="Calibri" w:cs="Calibri"/>
          <w:sz w:val="24"/>
          <w:szCs w:val="24"/>
        </w:rPr>
        <w:t xml:space="preserve">Centers for Disease Control and Prevention.  </w:t>
      </w:r>
      <w:r w:rsidR="00CB5962" w:rsidRPr="00CB5962">
        <w:rPr>
          <w:rFonts w:ascii="Calibri" w:hAnsi="Calibri" w:cs="Calibri"/>
          <w:sz w:val="24"/>
          <w:szCs w:val="24"/>
        </w:rPr>
        <w:t xml:space="preserve">Testing Guidelines for Nursing Homes, </w:t>
      </w:r>
      <w:r>
        <w:rPr>
          <w:rFonts w:ascii="Calibri" w:hAnsi="Calibri" w:cs="Calibri"/>
          <w:sz w:val="24"/>
          <w:szCs w:val="24"/>
        </w:rPr>
        <w:t xml:space="preserve">Updated Jan. 7, 2021:  </w:t>
      </w:r>
      <w:hyperlink r:id="rId16" w:history="1">
        <w:r w:rsidR="00CB5962" w:rsidRPr="00CB5962">
          <w:rPr>
            <w:rStyle w:val="Hyperlink"/>
            <w:rFonts w:ascii="Calibri" w:hAnsi="Calibri" w:cs="Calibri"/>
            <w:sz w:val="24"/>
            <w:szCs w:val="24"/>
          </w:rPr>
          <w:t>https://www.cdc.gov/coronavirus/2019-ncov/hcp/nursing-homes-testing.html</w:t>
        </w:r>
      </w:hyperlink>
    </w:p>
    <w:p w14:paraId="6C57EBB9" w14:textId="77777777" w:rsidR="00CB5962" w:rsidRPr="00CB5962" w:rsidRDefault="00CB5962" w:rsidP="00CB5962">
      <w:pPr>
        <w:pStyle w:val="NoSpacing"/>
        <w:rPr>
          <w:rFonts w:ascii="Calibri" w:hAnsi="Calibri" w:cs="Calibri"/>
          <w:sz w:val="24"/>
          <w:szCs w:val="24"/>
        </w:rPr>
      </w:pPr>
    </w:p>
    <w:p w14:paraId="0146ECB5" w14:textId="05478E6D" w:rsidR="004613FA" w:rsidRPr="00CB5962" w:rsidRDefault="004E704C" w:rsidP="00CB5962">
      <w:pPr>
        <w:pStyle w:val="NoSpacing"/>
        <w:rPr>
          <w:rFonts w:ascii="Calibri" w:hAnsi="Calibri" w:cs="Calibri"/>
          <w:sz w:val="24"/>
          <w:szCs w:val="24"/>
        </w:rPr>
      </w:pPr>
      <w:r>
        <w:rPr>
          <w:rFonts w:ascii="Calibri" w:hAnsi="Calibri" w:cs="Calibri"/>
          <w:sz w:val="24"/>
          <w:szCs w:val="24"/>
        </w:rPr>
        <w:t xml:space="preserve">Centers for Medicare &amp; Medicaid Services.  CMS SARS-CoV-2 Laboratory Testing Comparison, May 21, 2020.  </w:t>
      </w:r>
      <w:r w:rsidR="00CB5962" w:rsidRPr="00CB5962">
        <w:rPr>
          <w:rFonts w:ascii="Calibri" w:hAnsi="Calibri" w:cs="Calibri"/>
          <w:sz w:val="24"/>
          <w:szCs w:val="24"/>
        </w:rPr>
        <w:t>QSO 20-06-CLIA</w:t>
      </w:r>
      <w:r>
        <w:rPr>
          <w:rFonts w:ascii="Calibri" w:hAnsi="Calibri" w:cs="Calibri"/>
          <w:sz w:val="24"/>
          <w:szCs w:val="24"/>
        </w:rPr>
        <w:t xml:space="preserve">:  </w:t>
      </w:r>
      <w:hyperlink r:id="rId17" w:history="1">
        <w:r w:rsidR="00CB5962" w:rsidRPr="00CB5962">
          <w:rPr>
            <w:rStyle w:val="Hyperlink"/>
            <w:rFonts w:ascii="Calibri" w:hAnsi="Calibri" w:cs="Calibri"/>
            <w:sz w:val="24"/>
            <w:szCs w:val="24"/>
          </w:rPr>
          <w:t>https://www.cms.gov/files/document/admin-info-20-06-clia.pdf</w:t>
        </w:r>
      </w:hyperlink>
    </w:p>
    <w:sectPr w:rsidR="004613FA" w:rsidRPr="00CB5962" w:rsidSect="00DE7AF9">
      <w:headerReference w:type="default" r:id="rId18"/>
      <w:footerReference w:type="default" r:id="rId19"/>
      <w:headerReference w:type="first" r:id="rId2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2049" w14:textId="77777777" w:rsidR="005E78A2" w:rsidRDefault="005E78A2" w:rsidP="00FE158D">
      <w:r>
        <w:separator/>
      </w:r>
    </w:p>
  </w:endnote>
  <w:endnote w:type="continuationSeparator" w:id="0">
    <w:p w14:paraId="153DDAF5" w14:textId="77777777" w:rsidR="005E78A2" w:rsidRDefault="005E78A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7980" w14:textId="77777777" w:rsidR="005E78A2" w:rsidRDefault="005E78A2" w:rsidP="00FE158D">
      <w:r>
        <w:separator/>
      </w:r>
    </w:p>
  </w:footnote>
  <w:footnote w:type="continuationSeparator" w:id="0">
    <w:p w14:paraId="45ABF0C4" w14:textId="77777777" w:rsidR="005E78A2" w:rsidRDefault="005E78A2"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55CBA"/>
    <w:multiLevelType w:val="hybridMultilevel"/>
    <w:tmpl w:val="4164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9" w15:restartNumberingAfterBreak="0">
    <w:nsid w:val="77E84030"/>
    <w:multiLevelType w:val="hybridMultilevel"/>
    <w:tmpl w:val="52E6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1"/>
  </w:num>
  <w:num w:numId="24">
    <w:abstractNumId w:val="9"/>
  </w:num>
  <w:num w:numId="25">
    <w:abstractNumId w:val="20"/>
  </w:num>
  <w:num w:numId="26">
    <w:abstractNumId w:val="15"/>
  </w:num>
  <w:num w:numId="27">
    <w:abstractNumId w:val="21"/>
  </w:num>
  <w:num w:numId="28">
    <w:abstractNumId w:val="7"/>
  </w:num>
  <w:num w:numId="29">
    <w:abstractNumId w:val="25"/>
  </w:num>
  <w:num w:numId="30">
    <w:abstractNumId w:val="23"/>
  </w:num>
  <w:num w:numId="31">
    <w:abstractNumId w:val="34"/>
  </w:num>
  <w:num w:numId="32">
    <w:abstractNumId w:val="17"/>
  </w:num>
  <w:num w:numId="33">
    <w:abstractNumId w:val="35"/>
  </w:num>
  <w:num w:numId="34">
    <w:abstractNumId w:val="40"/>
  </w:num>
  <w:num w:numId="35">
    <w:abstractNumId w:val="27"/>
  </w:num>
  <w:num w:numId="36">
    <w:abstractNumId w:val="37"/>
  </w:num>
  <w:num w:numId="37">
    <w:abstractNumId w:val="1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D380A"/>
    <w:rsid w:val="000D5B62"/>
    <w:rsid w:val="000E228A"/>
    <w:rsid w:val="000F7C75"/>
    <w:rsid w:val="000F7E90"/>
    <w:rsid w:val="00102A96"/>
    <w:rsid w:val="001139B8"/>
    <w:rsid w:val="0012309D"/>
    <w:rsid w:val="00144BE0"/>
    <w:rsid w:val="00170AD2"/>
    <w:rsid w:val="00185739"/>
    <w:rsid w:val="0019504D"/>
    <w:rsid w:val="00234C60"/>
    <w:rsid w:val="002376A2"/>
    <w:rsid w:val="002C5F29"/>
    <w:rsid w:val="002D68EE"/>
    <w:rsid w:val="002F2B8A"/>
    <w:rsid w:val="003011C7"/>
    <w:rsid w:val="00301AA8"/>
    <w:rsid w:val="0031633A"/>
    <w:rsid w:val="00317996"/>
    <w:rsid w:val="0033490A"/>
    <w:rsid w:val="00372DF7"/>
    <w:rsid w:val="003734C7"/>
    <w:rsid w:val="00373CF0"/>
    <w:rsid w:val="003A3E8D"/>
    <w:rsid w:val="003B0939"/>
    <w:rsid w:val="003F0C77"/>
    <w:rsid w:val="00402197"/>
    <w:rsid w:val="00416F96"/>
    <w:rsid w:val="004613FA"/>
    <w:rsid w:val="0047191C"/>
    <w:rsid w:val="00484844"/>
    <w:rsid w:val="004874EB"/>
    <w:rsid w:val="004E704C"/>
    <w:rsid w:val="00534CAA"/>
    <w:rsid w:val="0053732B"/>
    <w:rsid w:val="005438CB"/>
    <w:rsid w:val="005817E5"/>
    <w:rsid w:val="00593E4B"/>
    <w:rsid w:val="005E78A2"/>
    <w:rsid w:val="005F036A"/>
    <w:rsid w:val="006034EC"/>
    <w:rsid w:val="00603AC0"/>
    <w:rsid w:val="00605605"/>
    <w:rsid w:val="00610027"/>
    <w:rsid w:val="006338B1"/>
    <w:rsid w:val="0066706B"/>
    <w:rsid w:val="006A3CC2"/>
    <w:rsid w:val="006B2ED2"/>
    <w:rsid w:val="006C7A0C"/>
    <w:rsid w:val="007251EF"/>
    <w:rsid w:val="00746482"/>
    <w:rsid w:val="007473C9"/>
    <w:rsid w:val="00783084"/>
    <w:rsid w:val="007A61F1"/>
    <w:rsid w:val="007F26C3"/>
    <w:rsid w:val="00805910"/>
    <w:rsid w:val="008259FB"/>
    <w:rsid w:val="00866A83"/>
    <w:rsid w:val="00883AD3"/>
    <w:rsid w:val="008E7224"/>
    <w:rsid w:val="008F1ABA"/>
    <w:rsid w:val="009073EC"/>
    <w:rsid w:val="0093721A"/>
    <w:rsid w:val="009478FB"/>
    <w:rsid w:val="00951B77"/>
    <w:rsid w:val="009854C3"/>
    <w:rsid w:val="009B7479"/>
    <w:rsid w:val="009C106D"/>
    <w:rsid w:val="009C583E"/>
    <w:rsid w:val="009F0488"/>
    <w:rsid w:val="00A039B0"/>
    <w:rsid w:val="00A25232"/>
    <w:rsid w:val="00A723F9"/>
    <w:rsid w:val="00A86993"/>
    <w:rsid w:val="00A9460A"/>
    <w:rsid w:val="00AA7C93"/>
    <w:rsid w:val="00AB677E"/>
    <w:rsid w:val="00AC0FC3"/>
    <w:rsid w:val="00B019EA"/>
    <w:rsid w:val="00B24FB4"/>
    <w:rsid w:val="00B7098C"/>
    <w:rsid w:val="00BA4702"/>
    <w:rsid w:val="00BB507F"/>
    <w:rsid w:val="00BC79D8"/>
    <w:rsid w:val="00C0102E"/>
    <w:rsid w:val="00C170A5"/>
    <w:rsid w:val="00C47D16"/>
    <w:rsid w:val="00C71D53"/>
    <w:rsid w:val="00C82867"/>
    <w:rsid w:val="00C963FE"/>
    <w:rsid w:val="00CB5962"/>
    <w:rsid w:val="00CB6AE5"/>
    <w:rsid w:val="00CC2821"/>
    <w:rsid w:val="00CE486E"/>
    <w:rsid w:val="00CE786A"/>
    <w:rsid w:val="00D2277C"/>
    <w:rsid w:val="00D300BE"/>
    <w:rsid w:val="00DB6D68"/>
    <w:rsid w:val="00DB7A52"/>
    <w:rsid w:val="00DC40AB"/>
    <w:rsid w:val="00DE7AF9"/>
    <w:rsid w:val="00DF710B"/>
    <w:rsid w:val="00E42F64"/>
    <w:rsid w:val="00E4366C"/>
    <w:rsid w:val="00E66BB5"/>
    <w:rsid w:val="00E94EC6"/>
    <w:rsid w:val="00ED6153"/>
    <w:rsid w:val="00EE0E87"/>
    <w:rsid w:val="00EF0A00"/>
    <w:rsid w:val="00EF35DE"/>
    <w:rsid w:val="00F5332B"/>
    <w:rsid w:val="00F92E90"/>
    <w:rsid w:val="00FA2473"/>
    <w:rsid w:val="00FB157C"/>
    <w:rsid w:val="00FC03F0"/>
    <w:rsid w:val="00FC666E"/>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character" w:styleId="UnresolvedMention">
    <w:name w:val="Unresolved Mention"/>
    <w:basedOn w:val="DefaultParagraphFont"/>
    <w:uiPriority w:val="99"/>
    <w:semiHidden/>
    <w:unhideWhenUsed/>
    <w:rsid w:val="000F7C75"/>
    <w:rPr>
      <w:color w:val="605E5C"/>
      <w:shd w:val="clear" w:color="auto" w:fill="E1DFDD"/>
    </w:rPr>
  </w:style>
  <w:style w:type="character" w:styleId="FollowedHyperlink">
    <w:name w:val="FollowedHyperlink"/>
    <w:basedOn w:val="DefaultParagraphFont"/>
    <w:uiPriority w:val="99"/>
    <w:semiHidden/>
    <w:unhideWhenUsed/>
    <w:rsid w:val="004E70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66353677">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hs.gov/coronavirus/caresact-provider-relief-fund/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ms.gov/files/document/FFCRA-Part-43-FAQs.pdf" TargetMode="External"/><Relationship Id="rId17" Type="http://schemas.openxmlformats.org/officeDocument/2006/relationships/hyperlink" Target="https://www.cms.gov/files/document/admin-info-20-06-clia.pdf" TargetMode="External"/><Relationship Id="rId2" Type="http://schemas.openxmlformats.org/officeDocument/2006/relationships/numbering" Target="numbering.xml"/><Relationship Id="rId16" Type="http://schemas.openxmlformats.org/officeDocument/2006/relationships/hyperlink" Target="https://www.cdc.gov/coronavirus/2019-ncov/hcp/nursing-homes-testing.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sa.gov/coviduninsuredclaim/frequently-asked-questions" TargetMode="External"/><Relationship Id="rId5" Type="http://schemas.openxmlformats.org/officeDocument/2006/relationships/webSettings" Target="webSettings.xml"/><Relationship Id="rId15" Type="http://schemas.openxmlformats.org/officeDocument/2006/relationships/hyperlink" Target="https://edit.cms.gov/files/document/covid-medicare-payment-covid-19-viral-testing-flow-chart.pdf" TargetMode="External"/><Relationship Id="rId10" Type="http://schemas.openxmlformats.org/officeDocument/2006/relationships/hyperlink" Target="https://www.medicaid.gov/state-resource-center/downloads/covid-19-faq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it.cms.gov/files/document/covid-medicare-payment-covid-19-viral-testing-flow-chart.pdf" TargetMode="External"/><Relationship Id="rId14" Type="http://schemas.openxmlformats.org/officeDocument/2006/relationships/hyperlink" Target="https://www.hhs.gov/coronavirus/cares-act-provider-relief-fund/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3</cp:revision>
  <dcterms:created xsi:type="dcterms:W3CDTF">2021-05-28T15:24:00Z</dcterms:created>
  <dcterms:modified xsi:type="dcterms:W3CDTF">2021-05-28T17:41:00Z</dcterms:modified>
</cp:coreProperties>
</file>