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C6C98A3" w14:textId="77777777" w:rsidR="0063525A" w:rsidRDefault="0063525A">
      <w:r w:rsidRPr="006352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B8C49" wp14:editId="67D1A801">
                <wp:simplePos x="0" y="0"/>
                <wp:positionH relativeFrom="column">
                  <wp:posOffset>0</wp:posOffset>
                </wp:positionH>
                <wp:positionV relativeFrom="page">
                  <wp:posOffset>627380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254E429" w14:textId="20F95A0A" w:rsidR="0063525A" w:rsidRPr="0063525A" w:rsidRDefault="008D389B" w:rsidP="0063525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72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72"/>
                              </w:rPr>
                              <w:t>Elements of a Good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CCB8C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9.4pt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" filled="f" stroked="f" strokeweight=".5pt">
                <v:textbox>
                  <w:txbxContent>
                    <w:p w14:paraId="4254E429" w14:textId="20F95A0A" w:rsidR="0063525A" w:rsidRPr="0063525A" w:rsidRDefault="008D389B" w:rsidP="0063525A">
                      <w:pPr>
                        <w:rPr>
                          <w:rFonts w:ascii="Calibri" w:hAnsi="Calibri"/>
                          <w:color w:val="FFFFFF" w:themeColor="background1"/>
                          <w:sz w:val="72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Calibri" w:hAnsi="Calibri"/>
                          <w:color w:val="FFFFFF"/>
                          <w:sz w:val="72"/>
                        </w:rPr>
                        <w:t>Elements of a Good Contract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2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7263F" wp14:editId="05F330B5">
                <wp:simplePos x="0" y="0"/>
                <wp:positionH relativeFrom="column">
                  <wp:posOffset>0</wp:posOffset>
                </wp:positionH>
                <wp:positionV relativeFrom="paragraph">
                  <wp:posOffset>2742565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AD8B47" w14:textId="6C94CA9F" w:rsidR="0063525A" w:rsidRPr="0063525A" w:rsidRDefault="005E6D98" w:rsidP="0063525A">
                            <w:pPr>
                              <w:rPr>
                                <w:color w:val="FFFFF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127263F" id="Text Box 5" o:spid="_x0000_s1027" type="#_x0000_t202" style="position:absolute;margin-left:0;margin-top:215.9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" filled="f" stroked="f" strokeweight=".5pt">
                <v:textbox>
                  <w:txbxContent>
                    <w:p w14:paraId="1CAD8B47" w14:textId="6C94CA9F" w:rsidR="0063525A" w:rsidRPr="0063525A" w:rsidRDefault="005E6D98" w:rsidP="0063525A">
                      <w:pPr>
                        <w:rPr>
                          <w:color w:val="FFFFF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 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D28A0EB" w14:textId="77777777" w:rsidR="0063525A" w:rsidRDefault="0063525A">
      <w:r>
        <w:br w:type="page"/>
      </w:r>
    </w:p>
    <w:p w14:paraId="4AB25361" w14:textId="77777777" w:rsidR="00097B28" w:rsidRDefault="00097B28"/>
    <w:p w14:paraId="5420E504" w14:textId="77777777" w:rsidR="008D389B" w:rsidRDefault="008D389B" w:rsidP="008D389B">
      <w:pPr>
        <w:pStyle w:val="Title"/>
        <w:rPr>
          <w:sz w:val="28"/>
        </w:rPr>
      </w:pPr>
    </w:p>
    <w:p w14:paraId="027DEA0B" w14:textId="1602D767" w:rsidR="00B07CF8" w:rsidRDefault="008D389B" w:rsidP="008D389B">
      <w:r>
        <w:t xml:space="preserve">The following are guidelines to use when contracting with </w:t>
      </w:r>
      <w:r w:rsidR="00DB6D01">
        <w:t>p</w:t>
      </w:r>
      <w:r>
        <w:t>ayors for services. This is not an exhaustive list and should not replace the scrutiny of legal counsel, but rather, should be used as a tool for negotiating contracts to provide care to patients.</w:t>
      </w:r>
    </w:p>
    <w:p w14:paraId="6C2764E1" w14:textId="6998AA2E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</w:pPr>
      <w:r w:rsidRPr="005E6D98">
        <w:t xml:space="preserve">Fees or </w:t>
      </w:r>
      <w:r w:rsidR="002A2BC1">
        <w:t>r</w:t>
      </w:r>
      <w:r w:rsidRPr="005E6D98">
        <w:t xml:space="preserve">ates </w:t>
      </w:r>
      <w:r w:rsidR="002A2BC1">
        <w:t>w</w:t>
      </w:r>
      <w:r w:rsidRPr="005E6D98">
        <w:t xml:space="preserve">ithin </w:t>
      </w:r>
      <w:r w:rsidR="002A2BC1">
        <w:t>s</w:t>
      </w:r>
      <w:r w:rsidRPr="005E6D98">
        <w:t xml:space="preserve">atisfactory </w:t>
      </w:r>
      <w:r w:rsidR="002A2BC1">
        <w:t>r</w:t>
      </w:r>
      <w:r w:rsidRPr="005E6D98">
        <w:t>ange</w:t>
      </w:r>
    </w:p>
    <w:p w14:paraId="5FAE4866" w14:textId="4DDBEAAD" w:rsidR="009A5F02" w:rsidRPr="005E6D98" w:rsidRDefault="008D389B" w:rsidP="00B07CF8">
      <w:pPr>
        <w:pStyle w:val="ListParagraph"/>
        <w:numPr>
          <w:ilvl w:val="0"/>
          <w:numId w:val="1"/>
        </w:numPr>
        <w:tabs>
          <w:tab w:val="left" w:pos="5130"/>
        </w:tabs>
        <w:spacing w:after="240" w:line="240" w:lineRule="auto"/>
        <w:contextualSpacing w:val="0"/>
      </w:pPr>
      <w:r w:rsidRPr="005E6D98">
        <w:t xml:space="preserve">Outliers </w:t>
      </w:r>
      <w:r w:rsidR="002A2BC1">
        <w:t>i</w:t>
      </w:r>
      <w:r w:rsidRPr="005E6D98">
        <w:t xml:space="preserve">ncluded in </w:t>
      </w:r>
      <w:r w:rsidR="002A2BC1">
        <w:t>f</w:t>
      </w:r>
      <w:r w:rsidRPr="005E6D98">
        <w:t xml:space="preserve">ee </w:t>
      </w:r>
      <w:r w:rsidR="002A2BC1">
        <w:t>s</w:t>
      </w:r>
      <w:r w:rsidRPr="005E6D98">
        <w:t>chedule</w:t>
      </w:r>
    </w:p>
    <w:p w14:paraId="7D16D4D8" w14:textId="3103A07D" w:rsidR="008D389B" w:rsidRPr="005E6D98" w:rsidRDefault="008D389B" w:rsidP="00B07CF8">
      <w:pPr>
        <w:pStyle w:val="ListParagraph"/>
        <w:numPr>
          <w:ilvl w:val="0"/>
          <w:numId w:val="1"/>
        </w:numPr>
        <w:tabs>
          <w:tab w:val="left" w:pos="5130"/>
        </w:tabs>
        <w:spacing w:after="240" w:line="240" w:lineRule="auto"/>
      </w:pPr>
      <w:r w:rsidRPr="005E6D98">
        <w:t xml:space="preserve">Exclusivity or </w:t>
      </w:r>
      <w:r w:rsidR="002A2BC1">
        <w:t>p</w:t>
      </w:r>
      <w:r w:rsidRPr="005E6D98">
        <w:t xml:space="preserve">referred </w:t>
      </w:r>
      <w:r w:rsidR="002A2BC1">
        <w:t>p</w:t>
      </w:r>
      <w:r w:rsidRPr="005E6D98">
        <w:t xml:space="preserve">rovider </w:t>
      </w:r>
      <w:r w:rsidR="002A2BC1">
        <w:t>s</w:t>
      </w:r>
      <w:r w:rsidRPr="005E6D98">
        <w:t>tatus</w:t>
      </w:r>
    </w:p>
    <w:p w14:paraId="74C3E9B1" w14:textId="7AE55C05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</w:pPr>
      <w:r w:rsidRPr="005E6D98">
        <w:t xml:space="preserve">Verification of </w:t>
      </w:r>
      <w:r w:rsidR="002A2BC1">
        <w:t>m</w:t>
      </w:r>
      <w:r w:rsidRPr="005E6D98">
        <w:t xml:space="preserve">ember’s </w:t>
      </w:r>
      <w:r w:rsidR="002A2BC1">
        <w:t>b</w:t>
      </w:r>
      <w:r w:rsidRPr="005E6D98">
        <w:t>enefits/</w:t>
      </w:r>
      <w:r w:rsidR="002A2BC1">
        <w:t>c</w:t>
      </w:r>
      <w:r w:rsidRPr="005E6D98">
        <w:t xml:space="preserve">overage is </w:t>
      </w:r>
      <w:r w:rsidR="002A2BC1">
        <w:t>a</w:t>
      </w:r>
      <w:r w:rsidRPr="005E6D98">
        <w:t xml:space="preserve">vailable </w:t>
      </w:r>
      <w:r w:rsidR="002A2BC1">
        <w:t>w</w:t>
      </w:r>
      <w:r w:rsidRPr="005E6D98">
        <w:t xml:space="preserve">ithin </w:t>
      </w:r>
      <w:r w:rsidR="002A2BC1">
        <w:t>r</w:t>
      </w:r>
      <w:r w:rsidRPr="005E6D98">
        <w:t xml:space="preserve">easonable </w:t>
      </w:r>
      <w:r w:rsidR="002A2BC1">
        <w:t>t</w:t>
      </w:r>
      <w:r w:rsidRPr="005E6D98">
        <w:t>imeframe</w:t>
      </w:r>
    </w:p>
    <w:p w14:paraId="7EAF802D" w14:textId="70A1ACBB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</w:pPr>
      <w:r w:rsidRPr="005E6D98">
        <w:t xml:space="preserve">Pre-certification </w:t>
      </w:r>
      <w:r w:rsidR="002A2BC1">
        <w:t>p</w:t>
      </w:r>
      <w:r w:rsidRPr="005E6D98">
        <w:t xml:space="preserve">rocess </w:t>
      </w:r>
      <w:r w:rsidR="002A2BC1">
        <w:t>d</w:t>
      </w:r>
      <w:r w:rsidRPr="005E6D98">
        <w:t>efined</w:t>
      </w:r>
    </w:p>
    <w:p w14:paraId="66D66F86" w14:textId="4F1BAE80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</w:pPr>
      <w:r w:rsidRPr="005E6D98">
        <w:t xml:space="preserve">Turnaround </w:t>
      </w:r>
      <w:r w:rsidR="002A2BC1">
        <w:t>t</w:t>
      </w:r>
      <w:r w:rsidRPr="005E6D98">
        <w:t xml:space="preserve">ime for </w:t>
      </w:r>
      <w:r w:rsidR="002A2BC1">
        <w:t>c</w:t>
      </w:r>
      <w:r w:rsidRPr="005E6D98">
        <w:t xml:space="preserve">laims </w:t>
      </w:r>
      <w:r w:rsidR="002A2BC1">
        <w:t>p</w:t>
      </w:r>
      <w:r w:rsidRPr="005E6D98">
        <w:t xml:space="preserve">ayment is </w:t>
      </w:r>
      <w:r w:rsidR="002A2BC1">
        <w:t>r</w:t>
      </w:r>
      <w:r w:rsidRPr="005E6D98">
        <w:t xml:space="preserve">easonable i.e. </w:t>
      </w:r>
      <w:r w:rsidR="002A2BC1">
        <w:t>s</w:t>
      </w:r>
      <w:r w:rsidRPr="005E6D98">
        <w:t xml:space="preserve">tate’s </w:t>
      </w:r>
      <w:r w:rsidR="002A2BC1">
        <w:t>p</w:t>
      </w:r>
      <w:r w:rsidRPr="005E6D98">
        <w:t xml:space="preserve">rompt </w:t>
      </w:r>
      <w:r w:rsidR="002A2BC1">
        <w:t>p</w:t>
      </w:r>
      <w:r w:rsidRPr="005E6D98">
        <w:t xml:space="preserve">ayment </w:t>
      </w:r>
      <w:r w:rsidR="002A2BC1">
        <w:t>s</w:t>
      </w:r>
      <w:r w:rsidRPr="005E6D98">
        <w:t>tatute</w:t>
      </w:r>
    </w:p>
    <w:p w14:paraId="3D41C8DF" w14:textId="518DE857" w:rsidR="008D389B" w:rsidRPr="005E6D98" w:rsidRDefault="002A2BC1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</w:pPr>
      <w:r>
        <w:t>T</w:t>
      </w:r>
      <w:r w:rsidR="008D389B" w:rsidRPr="005E6D98">
        <w:t xml:space="preserve">ermination </w:t>
      </w:r>
      <w:r>
        <w:t>p</w:t>
      </w:r>
      <w:r w:rsidR="008D389B" w:rsidRPr="005E6D98">
        <w:t xml:space="preserve">rocess </w:t>
      </w:r>
      <w:r>
        <w:t>a</w:t>
      </w:r>
      <w:r w:rsidR="008D389B" w:rsidRPr="005E6D98">
        <w:t>cceptable – “</w:t>
      </w:r>
      <w:r>
        <w:t>f</w:t>
      </w:r>
      <w:r w:rsidR="008D389B" w:rsidRPr="005E6D98">
        <w:t xml:space="preserve">or </w:t>
      </w:r>
      <w:r>
        <w:t>c</w:t>
      </w:r>
      <w:r w:rsidR="008D389B" w:rsidRPr="005E6D98">
        <w:t>ause” or “</w:t>
      </w:r>
      <w:r>
        <w:t>n</w:t>
      </w:r>
      <w:r w:rsidR="008D389B" w:rsidRPr="005E6D98">
        <w:t xml:space="preserve">ot </w:t>
      </w:r>
      <w:r>
        <w:t>f</w:t>
      </w:r>
      <w:r w:rsidR="008D389B" w:rsidRPr="005E6D98">
        <w:t xml:space="preserve">or </w:t>
      </w:r>
      <w:r>
        <w:t>c</w:t>
      </w:r>
      <w:r w:rsidR="008D389B" w:rsidRPr="005E6D98">
        <w:t>ause”</w:t>
      </w:r>
    </w:p>
    <w:p w14:paraId="38A4ACEA" w14:textId="1C324A19" w:rsidR="008D389B" w:rsidRPr="005E6D98" w:rsidRDefault="002A2BC1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>
        <w:rPr>
          <w:bCs/>
        </w:rPr>
        <w:t>S</w:t>
      </w:r>
      <w:r w:rsidR="008D389B" w:rsidRPr="005E6D98">
        <w:rPr>
          <w:bCs/>
        </w:rPr>
        <w:t xml:space="preserve">ervices to be </w:t>
      </w:r>
      <w:r>
        <w:rPr>
          <w:bCs/>
        </w:rPr>
        <w:t>p</w:t>
      </w:r>
      <w:r w:rsidR="008D389B" w:rsidRPr="005E6D98">
        <w:rPr>
          <w:bCs/>
        </w:rPr>
        <w:t xml:space="preserve">rovided are </w:t>
      </w:r>
      <w:r>
        <w:rPr>
          <w:bCs/>
        </w:rPr>
        <w:t>o</w:t>
      </w:r>
      <w:r w:rsidR="008D389B" w:rsidRPr="005E6D98">
        <w:rPr>
          <w:bCs/>
        </w:rPr>
        <w:t>utlined</w:t>
      </w:r>
    </w:p>
    <w:p w14:paraId="76849C6D" w14:textId="150D48B7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Plan of </w:t>
      </w:r>
      <w:r w:rsidR="002A2BC1">
        <w:rPr>
          <w:bCs/>
        </w:rPr>
        <w:t>c</w:t>
      </w:r>
      <w:r w:rsidRPr="005E6D98">
        <w:rPr>
          <w:bCs/>
        </w:rPr>
        <w:t xml:space="preserve">are </w:t>
      </w:r>
      <w:r w:rsidR="002A2BC1">
        <w:rPr>
          <w:bCs/>
        </w:rPr>
        <w:t>l</w:t>
      </w:r>
      <w:r w:rsidRPr="005E6D98">
        <w:rPr>
          <w:bCs/>
        </w:rPr>
        <w:t xml:space="preserve">anguage is </w:t>
      </w:r>
      <w:r w:rsidR="002A2BC1">
        <w:rPr>
          <w:bCs/>
        </w:rPr>
        <w:t>r</w:t>
      </w:r>
      <w:r w:rsidRPr="005E6D98">
        <w:rPr>
          <w:bCs/>
        </w:rPr>
        <w:t>easonable</w:t>
      </w:r>
    </w:p>
    <w:p w14:paraId="27EFD054" w14:textId="7D3EB94A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Definitions for any </w:t>
      </w:r>
      <w:r w:rsidR="002A2BC1">
        <w:rPr>
          <w:bCs/>
        </w:rPr>
        <w:t>a</w:t>
      </w:r>
      <w:r w:rsidRPr="005E6D98">
        <w:rPr>
          <w:bCs/>
        </w:rPr>
        <w:t xml:space="preserve">mbiguous </w:t>
      </w:r>
      <w:r w:rsidR="002A2BC1">
        <w:rPr>
          <w:bCs/>
        </w:rPr>
        <w:t>t</w:t>
      </w:r>
      <w:r w:rsidRPr="005E6D98">
        <w:rPr>
          <w:bCs/>
        </w:rPr>
        <w:t xml:space="preserve">erms </w:t>
      </w:r>
    </w:p>
    <w:p w14:paraId="4F9C2E35" w14:textId="327BF4D3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Service </w:t>
      </w:r>
      <w:r w:rsidR="002A2BC1">
        <w:rPr>
          <w:bCs/>
        </w:rPr>
        <w:t>a</w:t>
      </w:r>
      <w:r w:rsidRPr="005E6D98">
        <w:rPr>
          <w:bCs/>
        </w:rPr>
        <w:t xml:space="preserve">rea is </w:t>
      </w:r>
      <w:r w:rsidR="002A2BC1">
        <w:rPr>
          <w:bCs/>
        </w:rPr>
        <w:t>d</w:t>
      </w:r>
      <w:r w:rsidRPr="005E6D98">
        <w:rPr>
          <w:bCs/>
        </w:rPr>
        <w:t xml:space="preserve">efined </w:t>
      </w:r>
    </w:p>
    <w:p w14:paraId="2A339D6F" w14:textId="2E228EE3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Referral </w:t>
      </w:r>
      <w:r w:rsidR="002A2BC1">
        <w:rPr>
          <w:bCs/>
        </w:rPr>
        <w:t>p</w:t>
      </w:r>
      <w:r w:rsidRPr="005E6D98">
        <w:rPr>
          <w:bCs/>
        </w:rPr>
        <w:t xml:space="preserve">rocess </w:t>
      </w:r>
      <w:r w:rsidR="002A2BC1">
        <w:rPr>
          <w:bCs/>
        </w:rPr>
        <w:t>e</w:t>
      </w:r>
      <w:r w:rsidRPr="005E6D98">
        <w:rPr>
          <w:bCs/>
        </w:rPr>
        <w:t xml:space="preserve">xplained and </w:t>
      </w:r>
      <w:r w:rsidR="002A2BC1">
        <w:rPr>
          <w:bCs/>
        </w:rPr>
        <w:t>a</w:t>
      </w:r>
      <w:r w:rsidRPr="005E6D98">
        <w:rPr>
          <w:bCs/>
        </w:rPr>
        <w:t>cceptable</w:t>
      </w:r>
    </w:p>
    <w:p w14:paraId="33FFA0AF" w14:textId="19141F2C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Admission </w:t>
      </w:r>
      <w:r w:rsidR="002A2BC1">
        <w:rPr>
          <w:bCs/>
        </w:rPr>
        <w:t>c</w:t>
      </w:r>
      <w:r w:rsidRPr="005E6D98">
        <w:rPr>
          <w:bCs/>
        </w:rPr>
        <w:t xml:space="preserve">riteria </w:t>
      </w:r>
      <w:r w:rsidR="002A2BC1">
        <w:rPr>
          <w:bCs/>
        </w:rPr>
        <w:t>d</w:t>
      </w:r>
      <w:r w:rsidRPr="005E6D98">
        <w:rPr>
          <w:bCs/>
        </w:rPr>
        <w:t>elineated</w:t>
      </w:r>
    </w:p>
    <w:p w14:paraId="2F743805" w14:textId="165ACB49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Need </w:t>
      </w:r>
      <w:r w:rsidR="002A2BC1">
        <w:rPr>
          <w:bCs/>
        </w:rPr>
        <w:t>d</w:t>
      </w:r>
      <w:r w:rsidRPr="005E6D98">
        <w:rPr>
          <w:bCs/>
        </w:rPr>
        <w:t xml:space="preserve">efinitions of </w:t>
      </w:r>
      <w:r w:rsidR="002A2BC1">
        <w:rPr>
          <w:bCs/>
        </w:rPr>
        <w:t>r</w:t>
      </w:r>
      <w:r w:rsidRPr="005E6D98">
        <w:rPr>
          <w:bCs/>
        </w:rPr>
        <w:t xml:space="preserve">ate </w:t>
      </w:r>
      <w:r w:rsidR="002A2BC1">
        <w:rPr>
          <w:bCs/>
        </w:rPr>
        <w:t>t</w:t>
      </w:r>
      <w:r w:rsidRPr="005E6D98">
        <w:rPr>
          <w:bCs/>
        </w:rPr>
        <w:t>erminology</w:t>
      </w:r>
    </w:p>
    <w:p w14:paraId="4B140F53" w14:textId="0F23A3B0" w:rsidR="008D389B" w:rsidRPr="005E6D98" w:rsidRDefault="008D389B" w:rsidP="00B07CF8">
      <w:pPr>
        <w:numPr>
          <w:ilvl w:val="0"/>
          <w:numId w:val="1"/>
        </w:numPr>
        <w:tabs>
          <w:tab w:val="left" w:pos="5130"/>
          <w:tab w:val="left" w:pos="5922"/>
        </w:tabs>
        <w:spacing w:after="240" w:line="240" w:lineRule="auto"/>
        <w:rPr>
          <w:bCs/>
        </w:rPr>
      </w:pPr>
      <w:r w:rsidRPr="005E6D98">
        <w:rPr>
          <w:bCs/>
        </w:rPr>
        <w:t xml:space="preserve">Billing </w:t>
      </w:r>
      <w:r w:rsidR="002A2BC1">
        <w:rPr>
          <w:bCs/>
        </w:rPr>
        <w:t>r</w:t>
      </w:r>
      <w:r w:rsidRPr="005E6D98">
        <w:rPr>
          <w:bCs/>
        </w:rPr>
        <w:t xml:space="preserve">equirements and </w:t>
      </w:r>
      <w:r w:rsidR="002A2BC1">
        <w:rPr>
          <w:bCs/>
        </w:rPr>
        <w:t>m</w:t>
      </w:r>
      <w:r w:rsidRPr="005E6D98">
        <w:rPr>
          <w:bCs/>
        </w:rPr>
        <w:t xml:space="preserve">ethods </w:t>
      </w:r>
      <w:r w:rsidR="002A2BC1">
        <w:rPr>
          <w:bCs/>
        </w:rPr>
        <w:t>l</w:t>
      </w:r>
      <w:r w:rsidRPr="005E6D98">
        <w:rPr>
          <w:bCs/>
        </w:rPr>
        <w:t>anguage</w:t>
      </w:r>
    </w:p>
    <w:p w14:paraId="27056E35" w14:textId="5F08B6BF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Penalty </w:t>
      </w:r>
      <w:r w:rsidR="0053685D">
        <w:rPr>
          <w:bCs/>
        </w:rPr>
        <w:t>c</w:t>
      </w:r>
      <w:r w:rsidRPr="005E6D98">
        <w:rPr>
          <w:bCs/>
        </w:rPr>
        <w:t xml:space="preserve">lause if </w:t>
      </w:r>
      <w:r w:rsidR="0053685D">
        <w:rPr>
          <w:bCs/>
        </w:rPr>
        <w:t>c</w:t>
      </w:r>
      <w:r w:rsidRPr="005E6D98">
        <w:rPr>
          <w:bCs/>
        </w:rPr>
        <w:t xml:space="preserve">laims </w:t>
      </w:r>
      <w:r w:rsidR="002A2BC1">
        <w:rPr>
          <w:bCs/>
        </w:rPr>
        <w:t>p</w:t>
      </w:r>
      <w:r w:rsidRPr="005E6D98">
        <w:rPr>
          <w:bCs/>
        </w:rPr>
        <w:t xml:space="preserve">ayment is </w:t>
      </w:r>
      <w:r w:rsidR="002A2BC1">
        <w:rPr>
          <w:bCs/>
        </w:rPr>
        <w:t>d</w:t>
      </w:r>
      <w:r w:rsidRPr="005E6D98">
        <w:rPr>
          <w:bCs/>
        </w:rPr>
        <w:t>elinquent</w:t>
      </w:r>
    </w:p>
    <w:p w14:paraId="3AA4BC28" w14:textId="3F367FD0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Reasonable </w:t>
      </w:r>
      <w:r w:rsidR="0053685D">
        <w:rPr>
          <w:bCs/>
        </w:rPr>
        <w:t>p</w:t>
      </w:r>
      <w:r w:rsidRPr="005E6D98">
        <w:rPr>
          <w:bCs/>
        </w:rPr>
        <w:t xml:space="preserve">aperwork </w:t>
      </w:r>
      <w:r w:rsidR="0053685D">
        <w:rPr>
          <w:bCs/>
        </w:rPr>
        <w:t>r</w:t>
      </w:r>
      <w:r w:rsidRPr="005E6D98">
        <w:rPr>
          <w:bCs/>
        </w:rPr>
        <w:t xml:space="preserve">equirements (i.e. </w:t>
      </w:r>
      <w:r w:rsidR="0053685D">
        <w:rPr>
          <w:bCs/>
        </w:rPr>
        <w:t>q</w:t>
      </w:r>
      <w:r w:rsidRPr="005E6D98">
        <w:rPr>
          <w:bCs/>
        </w:rPr>
        <w:t xml:space="preserve">uality </w:t>
      </w:r>
      <w:r w:rsidR="0053685D">
        <w:rPr>
          <w:bCs/>
        </w:rPr>
        <w:t>a</w:t>
      </w:r>
      <w:r w:rsidRPr="005E6D98">
        <w:rPr>
          <w:bCs/>
        </w:rPr>
        <w:t xml:space="preserve">ssurance and </w:t>
      </w:r>
      <w:r w:rsidR="0053685D">
        <w:rPr>
          <w:bCs/>
        </w:rPr>
        <w:t>u</w:t>
      </w:r>
      <w:r w:rsidRPr="005E6D98">
        <w:rPr>
          <w:bCs/>
        </w:rPr>
        <w:t xml:space="preserve">tilization </w:t>
      </w:r>
      <w:r w:rsidR="0053685D">
        <w:rPr>
          <w:bCs/>
        </w:rPr>
        <w:t>r</w:t>
      </w:r>
      <w:r w:rsidRPr="005E6D98">
        <w:rPr>
          <w:bCs/>
        </w:rPr>
        <w:t>eview)</w:t>
      </w:r>
    </w:p>
    <w:p w14:paraId="2A18EE58" w14:textId="204835E5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Discharge </w:t>
      </w:r>
      <w:r w:rsidR="0053685D">
        <w:rPr>
          <w:bCs/>
        </w:rPr>
        <w:t>p</w:t>
      </w:r>
      <w:r w:rsidRPr="005E6D98">
        <w:rPr>
          <w:bCs/>
        </w:rPr>
        <w:t xml:space="preserve">rocess </w:t>
      </w:r>
      <w:r w:rsidR="0053685D">
        <w:rPr>
          <w:bCs/>
        </w:rPr>
        <w:t>o</w:t>
      </w:r>
      <w:r w:rsidRPr="005E6D98">
        <w:rPr>
          <w:bCs/>
        </w:rPr>
        <w:t>utlined</w:t>
      </w:r>
    </w:p>
    <w:p w14:paraId="52FEB665" w14:textId="0D485D93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lastRenderedPageBreak/>
        <w:t xml:space="preserve">Continuation of Care – </w:t>
      </w:r>
      <w:r w:rsidR="0053685D">
        <w:rPr>
          <w:bCs/>
        </w:rPr>
        <w:t>p</w:t>
      </w:r>
      <w:r w:rsidRPr="005E6D98">
        <w:rPr>
          <w:bCs/>
        </w:rPr>
        <w:t>rovider’s responsibility to continue to provide services after termination is identified</w:t>
      </w:r>
    </w:p>
    <w:p w14:paraId="1D8FD3C0" w14:textId="4C9ECBF8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>All program manuals and provider manuals referenced are reviewed by the provider and incorporated as part of the contract</w:t>
      </w:r>
    </w:p>
    <w:p w14:paraId="7639FB6D" w14:textId="1B0D20A0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Utilization </w:t>
      </w:r>
      <w:r w:rsidR="0053685D">
        <w:rPr>
          <w:bCs/>
        </w:rPr>
        <w:t>r</w:t>
      </w:r>
      <w:r w:rsidRPr="005E6D98">
        <w:rPr>
          <w:bCs/>
        </w:rPr>
        <w:t xml:space="preserve">eview </w:t>
      </w:r>
      <w:r w:rsidR="0053685D">
        <w:rPr>
          <w:bCs/>
        </w:rPr>
        <w:t>e</w:t>
      </w:r>
      <w:r w:rsidRPr="005E6D98">
        <w:rPr>
          <w:bCs/>
        </w:rPr>
        <w:t xml:space="preserve">xpectations </w:t>
      </w:r>
      <w:r w:rsidR="0053685D">
        <w:rPr>
          <w:bCs/>
        </w:rPr>
        <w:t>o</w:t>
      </w:r>
      <w:r w:rsidRPr="005E6D98">
        <w:rPr>
          <w:bCs/>
        </w:rPr>
        <w:t>utlined</w:t>
      </w:r>
    </w:p>
    <w:p w14:paraId="326F6A73" w14:textId="052F3738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Quality </w:t>
      </w:r>
      <w:r w:rsidR="0053685D">
        <w:rPr>
          <w:bCs/>
        </w:rPr>
        <w:t>a</w:t>
      </w:r>
      <w:r w:rsidRPr="005E6D98">
        <w:rPr>
          <w:bCs/>
        </w:rPr>
        <w:t xml:space="preserve">ssurance </w:t>
      </w:r>
      <w:r w:rsidR="0053685D">
        <w:rPr>
          <w:bCs/>
        </w:rPr>
        <w:t>e</w:t>
      </w:r>
      <w:r w:rsidRPr="005E6D98">
        <w:rPr>
          <w:bCs/>
        </w:rPr>
        <w:t xml:space="preserve">xpectations </w:t>
      </w:r>
      <w:r w:rsidR="0053685D">
        <w:rPr>
          <w:bCs/>
        </w:rPr>
        <w:t>o</w:t>
      </w:r>
      <w:r w:rsidRPr="005E6D98">
        <w:rPr>
          <w:bCs/>
        </w:rPr>
        <w:t>utlined</w:t>
      </w:r>
    </w:p>
    <w:p w14:paraId="5C654026" w14:textId="1442ACFB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Insurance and </w:t>
      </w:r>
      <w:r w:rsidR="0053685D">
        <w:rPr>
          <w:bCs/>
        </w:rPr>
        <w:t>i</w:t>
      </w:r>
      <w:r w:rsidRPr="005E6D98">
        <w:rPr>
          <w:bCs/>
        </w:rPr>
        <w:t xml:space="preserve">ndemnification of </w:t>
      </w:r>
      <w:r w:rsidR="0053685D">
        <w:rPr>
          <w:bCs/>
        </w:rPr>
        <w:t>a</w:t>
      </w:r>
      <w:r w:rsidRPr="005E6D98">
        <w:rPr>
          <w:bCs/>
        </w:rPr>
        <w:t xml:space="preserve">ll </w:t>
      </w:r>
      <w:r w:rsidR="0053685D">
        <w:rPr>
          <w:bCs/>
        </w:rPr>
        <w:t>p</w:t>
      </w:r>
      <w:r w:rsidRPr="005E6D98">
        <w:rPr>
          <w:bCs/>
        </w:rPr>
        <w:t>arties</w:t>
      </w:r>
    </w:p>
    <w:p w14:paraId="3D7CC807" w14:textId="6B48CE0E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Term of </w:t>
      </w:r>
      <w:r w:rsidR="0053685D">
        <w:rPr>
          <w:bCs/>
        </w:rPr>
        <w:t>a</w:t>
      </w:r>
      <w:r w:rsidRPr="005E6D98">
        <w:rPr>
          <w:bCs/>
        </w:rPr>
        <w:t xml:space="preserve">greement </w:t>
      </w:r>
      <w:r w:rsidR="0053685D">
        <w:rPr>
          <w:bCs/>
        </w:rPr>
        <w:t>d</w:t>
      </w:r>
      <w:r w:rsidRPr="005E6D98">
        <w:rPr>
          <w:bCs/>
        </w:rPr>
        <w:t>efined</w:t>
      </w:r>
    </w:p>
    <w:p w14:paraId="1D0161E1" w14:textId="42E10EEA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Dispute </w:t>
      </w:r>
      <w:r w:rsidR="0053685D">
        <w:rPr>
          <w:bCs/>
        </w:rPr>
        <w:t>r</w:t>
      </w:r>
      <w:r w:rsidRPr="005E6D98">
        <w:rPr>
          <w:bCs/>
        </w:rPr>
        <w:t xml:space="preserve">esolution </w:t>
      </w:r>
      <w:r w:rsidR="0053685D">
        <w:rPr>
          <w:bCs/>
        </w:rPr>
        <w:t>m</w:t>
      </w:r>
      <w:r w:rsidRPr="005E6D98">
        <w:rPr>
          <w:bCs/>
        </w:rPr>
        <w:t xml:space="preserve">echanism </w:t>
      </w:r>
      <w:r w:rsidR="0053685D">
        <w:rPr>
          <w:bCs/>
        </w:rPr>
        <w:t>s</w:t>
      </w:r>
      <w:r w:rsidRPr="005E6D98">
        <w:rPr>
          <w:bCs/>
        </w:rPr>
        <w:t>atisfactory</w:t>
      </w:r>
    </w:p>
    <w:p w14:paraId="0D1AE2E4" w14:textId="2089319E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Mutual </w:t>
      </w:r>
      <w:r w:rsidR="0053685D">
        <w:rPr>
          <w:bCs/>
        </w:rPr>
        <w:t>r</w:t>
      </w:r>
      <w:r w:rsidRPr="005E6D98">
        <w:rPr>
          <w:bCs/>
        </w:rPr>
        <w:t xml:space="preserve">ight to </w:t>
      </w:r>
      <w:r w:rsidR="0053685D">
        <w:rPr>
          <w:bCs/>
        </w:rPr>
        <w:t>r</w:t>
      </w:r>
      <w:r w:rsidRPr="005E6D98">
        <w:rPr>
          <w:bCs/>
        </w:rPr>
        <w:t xml:space="preserve">eview </w:t>
      </w:r>
      <w:r w:rsidR="0053685D">
        <w:rPr>
          <w:bCs/>
        </w:rPr>
        <w:t>m</w:t>
      </w:r>
      <w:r w:rsidRPr="005E6D98">
        <w:rPr>
          <w:bCs/>
        </w:rPr>
        <w:t>arketing/</w:t>
      </w:r>
      <w:r w:rsidR="0053685D">
        <w:rPr>
          <w:bCs/>
        </w:rPr>
        <w:t>p</w:t>
      </w:r>
      <w:r w:rsidRPr="005E6D98">
        <w:rPr>
          <w:bCs/>
        </w:rPr>
        <w:t xml:space="preserve">ublic </w:t>
      </w:r>
      <w:r w:rsidR="0053685D">
        <w:rPr>
          <w:bCs/>
        </w:rPr>
        <w:t>r</w:t>
      </w:r>
      <w:r w:rsidRPr="005E6D98">
        <w:rPr>
          <w:bCs/>
        </w:rPr>
        <w:t>elations materials (</w:t>
      </w:r>
      <w:r w:rsidR="0053685D">
        <w:rPr>
          <w:bCs/>
        </w:rPr>
        <w:t>w</w:t>
      </w:r>
      <w:r w:rsidRPr="005E6D98">
        <w:rPr>
          <w:bCs/>
        </w:rPr>
        <w:t xml:space="preserve">here the </w:t>
      </w:r>
      <w:r w:rsidR="0053685D">
        <w:rPr>
          <w:bCs/>
        </w:rPr>
        <w:t>o</w:t>
      </w:r>
      <w:r w:rsidRPr="005E6D98">
        <w:rPr>
          <w:bCs/>
        </w:rPr>
        <w:t xml:space="preserve">ther </w:t>
      </w:r>
      <w:r w:rsidR="0053685D">
        <w:rPr>
          <w:bCs/>
        </w:rPr>
        <w:t>e</w:t>
      </w:r>
      <w:r w:rsidRPr="005E6D98">
        <w:rPr>
          <w:bCs/>
        </w:rPr>
        <w:t xml:space="preserve">ntity’s </w:t>
      </w:r>
      <w:r w:rsidR="0053685D">
        <w:rPr>
          <w:bCs/>
        </w:rPr>
        <w:t>n</w:t>
      </w:r>
      <w:r w:rsidRPr="005E6D98">
        <w:rPr>
          <w:bCs/>
        </w:rPr>
        <w:t xml:space="preserve">ames is </w:t>
      </w:r>
      <w:r w:rsidR="0053685D">
        <w:rPr>
          <w:bCs/>
        </w:rPr>
        <w:t>u</w:t>
      </w:r>
      <w:r w:rsidRPr="005E6D98">
        <w:rPr>
          <w:bCs/>
        </w:rPr>
        <w:t>sed)</w:t>
      </w:r>
    </w:p>
    <w:p w14:paraId="31F44F67" w14:textId="26EF5069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Inspection of </w:t>
      </w:r>
      <w:r w:rsidR="0053685D">
        <w:rPr>
          <w:bCs/>
        </w:rPr>
        <w:t>r</w:t>
      </w:r>
      <w:r w:rsidRPr="005E6D98">
        <w:rPr>
          <w:bCs/>
        </w:rPr>
        <w:t xml:space="preserve">ecords </w:t>
      </w:r>
      <w:r w:rsidR="0053685D">
        <w:rPr>
          <w:bCs/>
        </w:rPr>
        <w:t>s</w:t>
      </w:r>
      <w:r w:rsidRPr="005E6D98">
        <w:rPr>
          <w:bCs/>
        </w:rPr>
        <w:t xml:space="preserve">hould be </w:t>
      </w:r>
      <w:r w:rsidR="0053685D">
        <w:rPr>
          <w:bCs/>
        </w:rPr>
        <w:t>f</w:t>
      </w:r>
      <w:r w:rsidRPr="005E6D98">
        <w:rPr>
          <w:bCs/>
        </w:rPr>
        <w:t xml:space="preserve">airly </w:t>
      </w:r>
      <w:r w:rsidR="0053685D">
        <w:rPr>
          <w:bCs/>
        </w:rPr>
        <w:t>t</w:t>
      </w:r>
      <w:r w:rsidRPr="005E6D98">
        <w:rPr>
          <w:bCs/>
        </w:rPr>
        <w:t xml:space="preserve">imed and </w:t>
      </w:r>
      <w:r w:rsidR="0053685D">
        <w:rPr>
          <w:bCs/>
        </w:rPr>
        <w:t>l</w:t>
      </w:r>
      <w:r w:rsidRPr="005E6D98">
        <w:rPr>
          <w:bCs/>
        </w:rPr>
        <w:t xml:space="preserve">imited to </w:t>
      </w:r>
      <w:r w:rsidR="0053685D">
        <w:rPr>
          <w:bCs/>
        </w:rPr>
        <w:t>p</w:t>
      </w:r>
      <w:r w:rsidRPr="005E6D98">
        <w:rPr>
          <w:bCs/>
        </w:rPr>
        <w:t xml:space="preserve">atients for that particular </w:t>
      </w:r>
      <w:r w:rsidR="0053685D">
        <w:rPr>
          <w:bCs/>
        </w:rPr>
        <w:t>p</w:t>
      </w:r>
      <w:r w:rsidR="0053685D" w:rsidRPr="005E6D98">
        <w:rPr>
          <w:bCs/>
        </w:rPr>
        <w:t>ayer</w:t>
      </w:r>
      <w:r w:rsidRPr="005E6D98">
        <w:rPr>
          <w:bCs/>
        </w:rPr>
        <w:t xml:space="preserve"> </w:t>
      </w:r>
      <w:r w:rsidR="0053685D">
        <w:rPr>
          <w:bCs/>
        </w:rPr>
        <w:t>o</w:t>
      </w:r>
      <w:r w:rsidRPr="005E6D98">
        <w:rPr>
          <w:bCs/>
        </w:rPr>
        <w:t>nly</w:t>
      </w:r>
    </w:p>
    <w:p w14:paraId="3060B5C0" w14:textId="3704AA7B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Applicable </w:t>
      </w:r>
      <w:r w:rsidR="0053685D">
        <w:rPr>
          <w:bCs/>
        </w:rPr>
        <w:t>s</w:t>
      </w:r>
      <w:r w:rsidRPr="005E6D98">
        <w:rPr>
          <w:bCs/>
        </w:rPr>
        <w:t xml:space="preserve">tate and </w:t>
      </w:r>
      <w:r w:rsidR="0053685D">
        <w:rPr>
          <w:bCs/>
        </w:rPr>
        <w:t>f</w:t>
      </w:r>
      <w:r w:rsidRPr="005E6D98">
        <w:rPr>
          <w:bCs/>
        </w:rPr>
        <w:t xml:space="preserve">ederal </w:t>
      </w:r>
      <w:r w:rsidR="0053685D">
        <w:rPr>
          <w:bCs/>
        </w:rPr>
        <w:t>l</w:t>
      </w:r>
      <w:r w:rsidRPr="005E6D98">
        <w:rPr>
          <w:bCs/>
        </w:rPr>
        <w:t xml:space="preserve">aw </w:t>
      </w:r>
      <w:r w:rsidR="0053685D">
        <w:rPr>
          <w:bCs/>
        </w:rPr>
        <w:t>p</w:t>
      </w:r>
      <w:r w:rsidRPr="005E6D98">
        <w:rPr>
          <w:bCs/>
        </w:rPr>
        <w:t>rovisions (i.e., entire understanding, notices, amendments, assignment, waiver of breach, etc.)</w:t>
      </w:r>
    </w:p>
    <w:p w14:paraId="14068B8C" w14:textId="490D07D3" w:rsidR="008D389B" w:rsidRPr="005E6D98" w:rsidRDefault="008D389B" w:rsidP="00B07CF8">
      <w:pPr>
        <w:numPr>
          <w:ilvl w:val="0"/>
          <w:numId w:val="1"/>
        </w:numPr>
        <w:tabs>
          <w:tab w:val="left" w:pos="5130"/>
        </w:tabs>
        <w:spacing w:after="240" w:line="240" w:lineRule="auto"/>
        <w:rPr>
          <w:bCs/>
        </w:rPr>
      </w:pPr>
      <w:r w:rsidRPr="005E6D98">
        <w:rPr>
          <w:bCs/>
        </w:rPr>
        <w:t xml:space="preserve">Non-discrimination </w:t>
      </w:r>
      <w:r w:rsidR="0053685D">
        <w:rPr>
          <w:bCs/>
        </w:rPr>
        <w:t>s</w:t>
      </w:r>
      <w:r w:rsidRPr="005E6D98">
        <w:rPr>
          <w:bCs/>
        </w:rPr>
        <w:t>tatement Included</w:t>
      </w:r>
    </w:p>
    <w:p w14:paraId="551D57F4" w14:textId="77777777" w:rsidR="009A5F02" w:rsidRPr="005E6D98" w:rsidRDefault="009A5F02" w:rsidP="008D389B">
      <w:pPr>
        <w:tabs>
          <w:tab w:val="left" w:pos="5130"/>
        </w:tabs>
        <w:rPr>
          <w:bCs/>
        </w:rPr>
      </w:pPr>
    </w:p>
    <w:p w14:paraId="1BAA4458" w14:textId="70C1C7DD" w:rsidR="008D389B" w:rsidRPr="005E6D98" w:rsidRDefault="008D389B" w:rsidP="008D389B">
      <w:pPr>
        <w:tabs>
          <w:tab w:val="left" w:pos="5130"/>
        </w:tabs>
        <w:rPr>
          <w:sz w:val="20"/>
        </w:rPr>
      </w:pPr>
      <w:r w:rsidRPr="005E6D98">
        <w:rPr>
          <w:sz w:val="20"/>
        </w:rPr>
        <w:t>Copyright © by Strategic Health Care.  All rights reserved.</w:t>
      </w:r>
    </w:p>
    <w:p w14:paraId="36357B64" w14:textId="77777777" w:rsidR="00E17D4A" w:rsidRPr="005E6D98" w:rsidRDefault="00E17D4A"/>
    <w:sectPr w:rsidR="00E17D4A" w:rsidRPr="005E6D98" w:rsidSect="00620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160" w:right="1008" w:bottom="1930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2EAA1" w14:textId="77777777" w:rsidR="005E19A3" w:rsidRDefault="005E19A3" w:rsidP="00147090">
      <w:pPr>
        <w:spacing w:after="0" w:line="240" w:lineRule="auto"/>
      </w:pPr>
      <w:r>
        <w:separator/>
      </w:r>
    </w:p>
  </w:endnote>
  <w:endnote w:type="continuationSeparator" w:id="0">
    <w:p w14:paraId="51326228" w14:textId="77777777" w:rsidR="005E19A3" w:rsidRDefault="005E19A3" w:rsidP="0014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29813" w14:textId="77777777" w:rsidR="00E6432D" w:rsidRDefault="00E643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0429" w14:textId="77777777" w:rsidR="00E6432D" w:rsidRDefault="00E643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FCE79" w14:textId="77777777" w:rsidR="00E6432D" w:rsidRDefault="00E643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03FEE" w14:textId="77777777" w:rsidR="005E19A3" w:rsidRDefault="005E19A3" w:rsidP="00147090">
      <w:pPr>
        <w:spacing w:after="0" w:line="240" w:lineRule="auto"/>
      </w:pPr>
      <w:r>
        <w:separator/>
      </w:r>
    </w:p>
  </w:footnote>
  <w:footnote w:type="continuationSeparator" w:id="0">
    <w:p w14:paraId="0636B203" w14:textId="77777777" w:rsidR="005E19A3" w:rsidRDefault="005E19A3" w:rsidP="00147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EF64" w14:textId="77777777" w:rsidR="00E6432D" w:rsidRDefault="00E643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7FD3F" w14:textId="77777777" w:rsidR="00620617" w:rsidRDefault="00E17D4A" w:rsidP="00620617">
    <w:pPr>
      <w:pStyle w:val="Header"/>
    </w:pPr>
    <w:r>
      <w:t xml:space="preserve">                                                                                     </w:t>
    </w:r>
  </w:p>
  <w:p w14:paraId="7D7B1C58" w14:textId="77777777" w:rsidR="00620617" w:rsidRDefault="00620617" w:rsidP="00620617">
    <w:pPr>
      <w:pStyle w:val="Header"/>
      <w:jc w:val="right"/>
    </w:pPr>
  </w:p>
  <w:p w14:paraId="76FB6097" w14:textId="77777777" w:rsidR="00620617" w:rsidRDefault="00620617" w:rsidP="00620617">
    <w:pPr>
      <w:pStyle w:val="Header"/>
      <w:jc w:val="right"/>
    </w:pPr>
  </w:p>
  <w:p w14:paraId="24B56E2E" w14:textId="77777777" w:rsidR="0063525A" w:rsidRPr="0063525A" w:rsidRDefault="008A7CE6" w:rsidP="00620617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1" locked="1" layoutInCell="1" allowOverlap="0" wp14:anchorId="6F01A34F" wp14:editId="2CE300A4">
          <wp:simplePos x="0" y="0"/>
          <wp:positionH relativeFrom="column">
            <wp:posOffset>0</wp:posOffset>
          </wp:positionH>
          <wp:positionV relativeFrom="page">
            <wp:posOffset>968375</wp:posOffset>
          </wp:positionV>
          <wp:extent cx="1497965" cy="493395"/>
          <wp:effectExtent l="0" t="0" r="698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979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7D4A">
      <w:t xml:space="preserve">     </w:t>
    </w:r>
    <w:r w:rsidR="00E67B09">
      <w:rPr>
        <w:noProof/>
      </w:rPr>
      <w:drawing>
        <wp:inline distT="0" distB="0" distL="0" distR="0" wp14:anchorId="1B9C5FA2" wp14:editId="590D8B56">
          <wp:extent cx="1129084" cy="5619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MCSI 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037" cy="615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CEEB1" w14:textId="77777777" w:rsidR="00147090" w:rsidRDefault="00147090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7A75900" wp14:editId="6A0E5161">
          <wp:simplePos x="641445" y="464024"/>
          <wp:positionH relativeFrom="page">
            <wp:align>right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LeadingAge Collateral\DEPARTMENTS\CFMCSI\Cover Templa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06274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A3"/>
    <w:rsid w:val="00097B28"/>
    <w:rsid w:val="00147090"/>
    <w:rsid w:val="00235157"/>
    <w:rsid w:val="002A2BC1"/>
    <w:rsid w:val="00362B45"/>
    <w:rsid w:val="004508AF"/>
    <w:rsid w:val="0053685D"/>
    <w:rsid w:val="005E19A3"/>
    <w:rsid w:val="005E6D98"/>
    <w:rsid w:val="005F50E1"/>
    <w:rsid w:val="00620617"/>
    <w:rsid w:val="0063525A"/>
    <w:rsid w:val="00827651"/>
    <w:rsid w:val="008A7CE6"/>
    <w:rsid w:val="008D389B"/>
    <w:rsid w:val="008F1AB5"/>
    <w:rsid w:val="009A5F02"/>
    <w:rsid w:val="00B002BF"/>
    <w:rsid w:val="00B07CF8"/>
    <w:rsid w:val="00B71997"/>
    <w:rsid w:val="00C77637"/>
    <w:rsid w:val="00DB6D01"/>
    <w:rsid w:val="00E17D4A"/>
    <w:rsid w:val="00E6432D"/>
    <w:rsid w:val="00E6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48C397"/>
  <w15:chartTrackingRefBased/>
  <w15:docId w15:val="{F60B9B85-E188-4023-AABC-5D10DFCA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090"/>
  </w:style>
  <w:style w:type="paragraph" w:styleId="Footer">
    <w:name w:val="footer"/>
    <w:basedOn w:val="Normal"/>
    <w:link w:val="FooterChar"/>
    <w:uiPriority w:val="99"/>
    <w:unhideWhenUsed/>
    <w:rsid w:val="00147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090"/>
  </w:style>
  <w:style w:type="paragraph" w:styleId="Title">
    <w:name w:val="Title"/>
    <w:basedOn w:val="Normal"/>
    <w:link w:val="TitleChar"/>
    <w:qFormat/>
    <w:rsid w:val="008D389B"/>
    <w:pPr>
      <w:tabs>
        <w:tab w:val="left" w:pos="51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D389B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9A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renshaw\Downloads\Managed%20Ca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Managed Care Template</Template>
  <TotalTime>1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Crenshaw</dc:creator>
  <cp:keywords/>
  <dc:description/>
  <cp:lastModifiedBy>Nicole Fallon</cp:lastModifiedBy>
  <cp:revision>3</cp:revision>
  <dcterms:created xsi:type="dcterms:W3CDTF">2018-10-17T15:04:00Z</dcterms:created>
  <dcterms:modified xsi:type="dcterms:W3CDTF">2018-10-17T15:05:00Z</dcterms:modified>
</cp:coreProperties>
</file>