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7743" w14:textId="77777777" w:rsidR="004672A2" w:rsidRDefault="004672A2" w:rsidP="004672A2">
      <w:pPr>
        <w:pStyle w:val="Header"/>
        <w:jc w:val="center"/>
        <w:rPr>
          <w:b/>
          <w:sz w:val="28"/>
          <w:szCs w:val="28"/>
        </w:rPr>
      </w:pPr>
      <w:r>
        <w:rPr>
          <w:b/>
          <w:sz w:val="28"/>
          <w:szCs w:val="28"/>
        </w:rPr>
        <w:t xml:space="preserve">DRUG REGIMEN REVIEW </w:t>
      </w:r>
      <w:r w:rsidRPr="00C0750C">
        <w:rPr>
          <w:b/>
          <w:sz w:val="28"/>
          <w:szCs w:val="28"/>
        </w:rPr>
        <w:t>QAPI ACTION PLAN</w:t>
      </w:r>
    </w:p>
    <w:p w14:paraId="4D7801CE" w14:textId="77777777" w:rsidR="004672A2" w:rsidRPr="00BE3921" w:rsidRDefault="004672A2" w:rsidP="004672A2">
      <w:pPr>
        <w:pStyle w:val="Header"/>
        <w:jc w:val="center"/>
        <w:rPr>
          <w:b/>
          <w:szCs w:val="28"/>
        </w:rPr>
      </w:pPr>
      <w:r w:rsidRPr="00BE3921">
        <w:rPr>
          <w:b/>
          <w:i/>
          <w:szCs w:val="28"/>
        </w:rPr>
        <w:t xml:space="preserve">(see </w:t>
      </w:r>
      <w:r>
        <w:rPr>
          <w:b/>
          <w:i/>
          <w:szCs w:val="28"/>
        </w:rPr>
        <w:t xml:space="preserve">Drug Regimen Review </w:t>
      </w:r>
      <w:proofErr w:type="spellStart"/>
      <w:r>
        <w:rPr>
          <w:b/>
          <w:i/>
          <w:szCs w:val="28"/>
        </w:rPr>
        <w:t>RoP</w:t>
      </w:r>
      <w:proofErr w:type="spellEnd"/>
      <w:r>
        <w:rPr>
          <w:b/>
          <w:i/>
          <w:szCs w:val="28"/>
        </w:rPr>
        <w:t xml:space="preserve"> C</w:t>
      </w:r>
      <w:r w:rsidRPr="00BE3921">
        <w:rPr>
          <w:b/>
          <w:i/>
          <w:szCs w:val="28"/>
        </w:rPr>
        <w:t>hecklist)</w:t>
      </w:r>
    </w:p>
    <w:p w14:paraId="3007FEE4" w14:textId="77777777" w:rsidR="00EF0BD7" w:rsidRPr="00FF65DB" w:rsidRDefault="00EF0BD7" w:rsidP="00EF0BD7">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9525"/>
        <w:gridCol w:w="3425"/>
      </w:tblGrid>
      <w:tr w:rsidR="004672A2" w14:paraId="17DE400C" w14:textId="77777777" w:rsidTr="005609BA">
        <w:tc>
          <w:tcPr>
            <w:tcW w:w="10915" w:type="dxa"/>
          </w:tcPr>
          <w:p w14:paraId="59A30F39" w14:textId="77777777" w:rsidR="004672A2" w:rsidRDefault="004672A2" w:rsidP="005609BA">
            <w:pPr>
              <w:textAlignment w:val="baseline"/>
              <w:rPr>
                <w:rFonts w:ascii="Calibri" w:eastAsia="Times New Roman" w:hAnsi="Calibri" w:cs="Times New Roman"/>
                <w:sz w:val="24"/>
                <w:szCs w:val="24"/>
              </w:rPr>
            </w:pPr>
            <w:r w:rsidRPr="00135A01">
              <w:rPr>
                <w:b/>
                <w:sz w:val="24"/>
              </w:rPr>
              <w:t>Regulation</w:t>
            </w:r>
            <w:r>
              <w:rPr>
                <w:b/>
                <w:sz w:val="24"/>
              </w:rPr>
              <w:t xml:space="preserve"> (</w:t>
            </w:r>
            <w:r w:rsidRPr="004645DC">
              <w:rPr>
                <w:rFonts w:ascii="Calibri" w:eastAsia="Times New Roman" w:hAnsi="Calibri" w:cs="Times New Roman"/>
                <w:b/>
                <w:bCs/>
                <w:sz w:val="24"/>
                <w:szCs w:val="24"/>
              </w:rPr>
              <w:t>483.45(c):  The drug regimen of each resident must be reviewed at least once a</w:t>
            </w:r>
            <w:r>
              <w:rPr>
                <w:rFonts w:ascii="Calibri" w:eastAsia="Times New Roman" w:hAnsi="Calibri" w:cs="Times New Roman"/>
                <w:b/>
                <w:bCs/>
                <w:sz w:val="24"/>
                <w:szCs w:val="24"/>
              </w:rPr>
              <w:t xml:space="preserve"> month by a licensed pharmacist</w:t>
            </w:r>
            <w:r>
              <w:rPr>
                <w:rFonts w:ascii="Calibri" w:eastAsia="Calibri" w:hAnsi="Calibri"/>
                <w:b/>
                <w:szCs w:val="24"/>
              </w:rPr>
              <w:t>)</w:t>
            </w:r>
            <w:r w:rsidRPr="00135A01">
              <w:rPr>
                <w:b/>
                <w:sz w:val="24"/>
              </w:rPr>
              <w:t>:</w:t>
            </w:r>
          </w:p>
          <w:p w14:paraId="15FDC353" w14:textId="77777777" w:rsidR="004672A2" w:rsidRPr="00DC1CD1" w:rsidRDefault="004672A2" w:rsidP="005609BA">
            <w:pPr>
              <w:textAlignment w:val="baseline"/>
              <w:rPr>
                <w:rFonts w:ascii="Times New Roman" w:eastAsia="Times New Roman" w:hAnsi="Times New Roman" w:cs="Times New Roman"/>
                <w:sz w:val="24"/>
                <w:szCs w:val="24"/>
              </w:rPr>
            </w:pPr>
            <w:r>
              <w:rPr>
                <w:rFonts w:ascii="Calibri" w:eastAsia="Times New Roman" w:hAnsi="Calibri" w:cs="Times New Roman"/>
                <w:sz w:val="24"/>
                <w:szCs w:val="24"/>
              </w:rPr>
              <w:t>“</w:t>
            </w:r>
            <w:r w:rsidRPr="00DC1CD1">
              <w:rPr>
                <w:rFonts w:ascii="Calibri" w:eastAsia="Times New Roman" w:hAnsi="Calibri" w:cs="Times New Roman"/>
                <w:sz w:val="24"/>
                <w:szCs w:val="24"/>
              </w:rPr>
              <w:t>(4) The pharmacist must report any irregularities to the attending physician and the facility’s medical director and director of nursing, and these reports must be acted upon. </w:t>
            </w:r>
          </w:p>
          <w:p w14:paraId="433AF72E" w14:textId="77777777" w:rsidR="004672A2" w:rsidRPr="00DC1CD1" w:rsidRDefault="004672A2" w:rsidP="005609BA">
            <w:pPr>
              <w:ind w:left="270"/>
              <w:textAlignment w:val="baseline"/>
              <w:rPr>
                <w:rFonts w:ascii="Times New Roman" w:eastAsia="Times New Roman" w:hAnsi="Times New Roman" w:cs="Times New Roman"/>
                <w:sz w:val="24"/>
                <w:szCs w:val="24"/>
              </w:rPr>
            </w:pPr>
            <w:r w:rsidRPr="00DC1CD1">
              <w:rPr>
                <w:rFonts w:ascii="Calibri" w:eastAsia="Times New Roman" w:hAnsi="Calibri" w:cs="Times New Roman"/>
                <w:sz w:val="24"/>
                <w:szCs w:val="24"/>
              </w:rPr>
              <w:t>(</w:t>
            </w:r>
            <w:proofErr w:type="spellStart"/>
            <w:r w:rsidRPr="00DC1CD1">
              <w:rPr>
                <w:rFonts w:ascii="Calibri" w:eastAsia="Times New Roman" w:hAnsi="Calibri" w:cs="Times New Roman"/>
                <w:sz w:val="24"/>
                <w:szCs w:val="24"/>
              </w:rPr>
              <w:t>i</w:t>
            </w:r>
            <w:proofErr w:type="spellEnd"/>
            <w:r w:rsidRPr="00DC1CD1">
              <w:rPr>
                <w:rFonts w:ascii="Calibri" w:eastAsia="Times New Roman" w:hAnsi="Calibri" w:cs="Times New Roman"/>
                <w:sz w:val="24"/>
                <w:szCs w:val="24"/>
              </w:rPr>
              <w:t>) Irregularities include, but not limited to, any drug that meets the criteria set forth in paragraph (d) of this section for unnecessary drugs. </w:t>
            </w:r>
          </w:p>
          <w:p w14:paraId="48298A1C" w14:textId="77777777" w:rsidR="004672A2" w:rsidRPr="00DC1CD1" w:rsidRDefault="004672A2" w:rsidP="005609BA">
            <w:pPr>
              <w:ind w:left="270"/>
              <w:textAlignment w:val="baseline"/>
              <w:rPr>
                <w:rFonts w:ascii="Times New Roman" w:eastAsia="Times New Roman" w:hAnsi="Times New Roman" w:cs="Times New Roman"/>
                <w:sz w:val="24"/>
                <w:szCs w:val="24"/>
              </w:rPr>
            </w:pPr>
            <w:r w:rsidRPr="4D441A08">
              <w:rPr>
                <w:rFonts w:ascii="Calibri" w:eastAsia="Times New Roman" w:hAnsi="Calibri" w:cs="Times New Roman"/>
                <w:sz w:val="24"/>
                <w:szCs w:val="24"/>
              </w:rPr>
              <w:t>(ii) Any irregularities noted by the pharmacist during this review must be documented on a separate written report that is sent to the attending physician and the facility's medical director and director of nursing and lists, at a minimum, the resident’s name, the relevant drug, and the irregularity the pharmacist identified. </w:t>
            </w:r>
          </w:p>
          <w:p w14:paraId="411E7F6B" w14:textId="15D81821" w:rsidR="004672A2" w:rsidRPr="004672A2" w:rsidRDefault="004672A2" w:rsidP="004672A2">
            <w:pPr>
              <w:ind w:left="270"/>
              <w:rPr>
                <w:rFonts w:ascii="Calibri" w:eastAsia="Calibri" w:hAnsi="Calibri" w:cs="Times New Roman"/>
                <w:color w:val="000000"/>
                <w:sz w:val="24"/>
                <w:szCs w:val="24"/>
              </w:rPr>
            </w:pPr>
            <w:r w:rsidRPr="00DC1CD1">
              <w:rPr>
                <w:rFonts w:ascii="Calibri" w:eastAsia="Calibri" w:hAnsi="Calibri" w:cs="Times New Roman"/>
                <w:color w:val="000000"/>
                <w:sz w:val="24"/>
                <w:szCs w:val="24"/>
              </w:rPr>
              <w:t>(iii) The attending physician must document in the resident’s medical record that the identified irregularity has been reviewed and what if any, action has been taken to address it. If there is to be no change in the medication, the attending physician should document his or her rationale in the resident’s medical record.</w:t>
            </w:r>
            <w:r>
              <w:rPr>
                <w:rFonts w:ascii="Calibri" w:eastAsia="Calibri" w:hAnsi="Calibri" w:cs="Times New Roman"/>
                <w:color w:val="000000"/>
                <w:sz w:val="24"/>
                <w:szCs w:val="24"/>
              </w:rPr>
              <w:t>”</w:t>
            </w:r>
            <w:r>
              <w:rPr>
                <w:rStyle w:val="FootnoteReference"/>
                <w:rFonts w:ascii="Calibri" w:eastAsia="Calibri" w:hAnsi="Calibri" w:cs="Times New Roman"/>
                <w:color w:val="000000"/>
                <w:sz w:val="24"/>
                <w:szCs w:val="24"/>
              </w:rPr>
              <w:footnoteReference w:id="1"/>
            </w:r>
          </w:p>
        </w:tc>
        <w:tc>
          <w:tcPr>
            <w:tcW w:w="3701" w:type="dxa"/>
            <w:vMerge w:val="restart"/>
          </w:tcPr>
          <w:p w14:paraId="4A0B0051" w14:textId="77777777" w:rsidR="004672A2" w:rsidRPr="00135A01" w:rsidRDefault="004672A2" w:rsidP="005609BA">
            <w:pPr>
              <w:rPr>
                <w:b/>
                <w:sz w:val="24"/>
              </w:rPr>
            </w:pPr>
            <w:r w:rsidRPr="00135A01">
              <w:rPr>
                <w:b/>
                <w:sz w:val="24"/>
              </w:rPr>
              <w:t>Team Members</w:t>
            </w:r>
            <w:r>
              <w:rPr>
                <w:b/>
                <w:sz w:val="24"/>
              </w:rPr>
              <w:t>/Titles</w:t>
            </w:r>
            <w:r w:rsidRPr="00135A01">
              <w:rPr>
                <w:b/>
                <w:sz w:val="24"/>
              </w:rPr>
              <w:t>:</w:t>
            </w:r>
          </w:p>
          <w:p w14:paraId="2317F21A" w14:textId="77777777" w:rsidR="004672A2" w:rsidRDefault="004672A2" w:rsidP="005609BA">
            <w:pPr>
              <w:rPr>
                <w:i/>
                <w:sz w:val="20"/>
              </w:rPr>
            </w:pPr>
            <w:r>
              <w:rPr>
                <w:i/>
                <w:sz w:val="20"/>
              </w:rPr>
              <w:t>(It is recommended the facility choose a team comprised of multiple departments, and include front-line staff.)</w:t>
            </w:r>
          </w:p>
          <w:p w14:paraId="68AF9EA4" w14:textId="77777777" w:rsidR="004672A2" w:rsidRDefault="004672A2" w:rsidP="005609BA">
            <w:pPr>
              <w:rPr>
                <w:i/>
                <w:sz w:val="20"/>
              </w:rPr>
            </w:pPr>
          </w:p>
          <w:p w14:paraId="3465F98F" w14:textId="77777777" w:rsidR="004672A2" w:rsidRDefault="004672A2" w:rsidP="005609BA">
            <w:pPr>
              <w:rPr>
                <w:i/>
                <w:sz w:val="20"/>
              </w:rPr>
            </w:pPr>
          </w:p>
          <w:p w14:paraId="47239FB7" w14:textId="77777777" w:rsidR="004672A2" w:rsidRDefault="004672A2" w:rsidP="005609BA">
            <w:pPr>
              <w:rPr>
                <w:i/>
                <w:sz w:val="20"/>
              </w:rPr>
            </w:pPr>
          </w:p>
          <w:p w14:paraId="3CB3153C" w14:textId="77777777" w:rsidR="004672A2" w:rsidRDefault="004672A2" w:rsidP="005609BA">
            <w:pPr>
              <w:rPr>
                <w:i/>
                <w:sz w:val="20"/>
              </w:rPr>
            </w:pPr>
          </w:p>
          <w:p w14:paraId="3D426BE6" w14:textId="77777777" w:rsidR="004672A2" w:rsidRDefault="004672A2" w:rsidP="005609BA">
            <w:pPr>
              <w:rPr>
                <w:i/>
                <w:sz w:val="20"/>
              </w:rPr>
            </w:pPr>
          </w:p>
          <w:p w14:paraId="38322CDF" w14:textId="77777777" w:rsidR="004672A2" w:rsidRDefault="004672A2" w:rsidP="005609BA">
            <w:pPr>
              <w:rPr>
                <w:i/>
                <w:sz w:val="20"/>
              </w:rPr>
            </w:pPr>
          </w:p>
          <w:p w14:paraId="77F04A70" w14:textId="77777777" w:rsidR="004672A2" w:rsidRDefault="004672A2" w:rsidP="005609BA">
            <w:pPr>
              <w:rPr>
                <w:i/>
                <w:sz w:val="20"/>
              </w:rPr>
            </w:pPr>
          </w:p>
          <w:p w14:paraId="5864AC50" w14:textId="77777777" w:rsidR="004672A2" w:rsidRDefault="004672A2" w:rsidP="005609BA">
            <w:pPr>
              <w:rPr>
                <w:i/>
                <w:sz w:val="20"/>
              </w:rPr>
            </w:pPr>
          </w:p>
          <w:p w14:paraId="29335C32" w14:textId="77777777" w:rsidR="004672A2" w:rsidRDefault="004672A2" w:rsidP="005609BA">
            <w:pPr>
              <w:rPr>
                <w:i/>
                <w:sz w:val="20"/>
              </w:rPr>
            </w:pPr>
          </w:p>
          <w:p w14:paraId="3264A98E" w14:textId="77777777" w:rsidR="004672A2" w:rsidRDefault="004672A2" w:rsidP="005609BA">
            <w:pPr>
              <w:rPr>
                <w:i/>
                <w:sz w:val="20"/>
              </w:rPr>
            </w:pPr>
          </w:p>
          <w:p w14:paraId="5AC979B0" w14:textId="77777777" w:rsidR="004672A2" w:rsidRDefault="004672A2" w:rsidP="005609BA">
            <w:pPr>
              <w:rPr>
                <w:i/>
                <w:sz w:val="20"/>
              </w:rPr>
            </w:pPr>
          </w:p>
          <w:p w14:paraId="7E4E2B40" w14:textId="77777777" w:rsidR="004672A2" w:rsidRPr="004535E3" w:rsidRDefault="004672A2" w:rsidP="005609BA">
            <w:pPr>
              <w:rPr>
                <w:b/>
                <w:sz w:val="20"/>
              </w:rPr>
            </w:pPr>
          </w:p>
        </w:tc>
      </w:tr>
      <w:tr w:rsidR="004672A2" w14:paraId="56ABD9CA" w14:textId="77777777" w:rsidTr="005609BA">
        <w:tc>
          <w:tcPr>
            <w:tcW w:w="10915" w:type="dxa"/>
          </w:tcPr>
          <w:p w14:paraId="444BC155" w14:textId="77777777" w:rsidR="004672A2" w:rsidRPr="00FC351C" w:rsidRDefault="004672A2" w:rsidP="005609BA">
            <w:pPr>
              <w:rPr>
                <w:b/>
                <w:sz w:val="24"/>
              </w:rPr>
            </w:pPr>
            <w:r w:rsidRPr="00135A01">
              <w:rPr>
                <w:b/>
                <w:sz w:val="24"/>
              </w:rPr>
              <w:t>Root Cause Analysis:</w:t>
            </w:r>
            <w:r>
              <w:rPr>
                <w:b/>
                <w:sz w:val="24"/>
              </w:rPr>
              <w:t xml:space="preserve"> </w:t>
            </w:r>
            <w:r>
              <w:rPr>
                <w:i/>
                <w:sz w:val="20"/>
              </w:rPr>
              <w:t>(The team will identify areas that allow or contribute to noncompliance with this regulation. Prioritize the causes and develop goals below for the top one or two causes.)</w:t>
            </w:r>
          </w:p>
          <w:p w14:paraId="4E196FB6" w14:textId="77777777" w:rsidR="004672A2" w:rsidRDefault="004672A2" w:rsidP="005609BA"/>
        </w:tc>
        <w:tc>
          <w:tcPr>
            <w:tcW w:w="3701" w:type="dxa"/>
            <w:vMerge/>
          </w:tcPr>
          <w:p w14:paraId="40DF6ED6" w14:textId="77777777" w:rsidR="004672A2" w:rsidRDefault="004672A2" w:rsidP="005609BA"/>
        </w:tc>
      </w:tr>
      <w:tr w:rsidR="004672A2" w14:paraId="37E00FBC" w14:textId="77777777" w:rsidTr="005609BA">
        <w:tc>
          <w:tcPr>
            <w:tcW w:w="10915" w:type="dxa"/>
          </w:tcPr>
          <w:p w14:paraId="6293766C" w14:textId="2C8F7068" w:rsidR="004672A2" w:rsidRPr="004672A2" w:rsidRDefault="004672A2" w:rsidP="005609BA">
            <w:pPr>
              <w:rPr>
                <w:b/>
                <w:sz w:val="24"/>
              </w:rPr>
            </w:pPr>
            <w:r w:rsidRPr="00135A01">
              <w:rPr>
                <w:b/>
                <w:sz w:val="24"/>
              </w:rPr>
              <w:t>Goals &amp; Objectives</w:t>
            </w:r>
            <w:r>
              <w:rPr>
                <w:b/>
                <w:sz w:val="24"/>
              </w:rPr>
              <w:t xml:space="preserve">: </w:t>
            </w:r>
            <w:r>
              <w:rPr>
                <w:i/>
                <w:sz w:val="20"/>
              </w:rPr>
              <w:t>(Team will customize goals and objectives based on root-cause investigation of facility status and where the team plans to work on realistic goals for completion.)</w:t>
            </w:r>
          </w:p>
          <w:p w14:paraId="4E32EDF7" w14:textId="77777777" w:rsidR="004672A2" w:rsidRDefault="004672A2" w:rsidP="005609BA"/>
        </w:tc>
        <w:tc>
          <w:tcPr>
            <w:tcW w:w="3701" w:type="dxa"/>
            <w:vMerge/>
          </w:tcPr>
          <w:p w14:paraId="12E009AE" w14:textId="77777777" w:rsidR="004672A2" w:rsidRDefault="004672A2" w:rsidP="005609BA"/>
        </w:tc>
      </w:tr>
      <w:tr w:rsidR="004672A2" w14:paraId="7303B4C5" w14:textId="77777777" w:rsidTr="005609BA">
        <w:tc>
          <w:tcPr>
            <w:tcW w:w="10915" w:type="dxa"/>
          </w:tcPr>
          <w:p w14:paraId="29C869A1" w14:textId="77777777" w:rsidR="004672A2" w:rsidRDefault="004672A2" w:rsidP="005609BA">
            <w:pPr>
              <w:rPr>
                <w:b/>
                <w:sz w:val="24"/>
              </w:rPr>
            </w:pPr>
            <w:r>
              <w:rPr>
                <w:b/>
                <w:sz w:val="24"/>
              </w:rPr>
              <w:t xml:space="preserve">Charter: </w:t>
            </w:r>
            <w:r>
              <w:rPr>
                <w:i/>
                <w:sz w:val="20"/>
              </w:rPr>
              <w:t>(I</w:t>
            </w:r>
            <w:r w:rsidRPr="00FC351C">
              <w:rPr>
                <w:i/>
                <w:sz w:val="20"/>
              </w:rPr>
              <w:t>dentify the resources needed to perform this improvement plan.)</w:t>
            </w:r>
          </w:p>
          <w:p w14:paraId="08890029" w14:textId="77777777" w:rsidR="004672A2" w:rsidRDefault="004672A2" w:rsidP="005609BA">
            <w:pPr>
              <w:rPr>
                <w:b/>
                <w:sz w:val="24"/>
              </w:rPr>
            </w:pPr>
          </w:p>
          <w:p w14:paraId="16DF1750" w14:textId="77777777" w:rsidR="004672A2" w:rsidRPr="00135A01" w:rsidRDefault="004672A2" w:rsidP="005609BA">
            <w:pPr>
              <w:rPr>
                <w:b/>
                <w:sz w:val="24"/>
              </w:rPr>
            </w:pPr>
          </w:p>
        </w:tc>
        <w:tc>
          <w:tcPr>
            <w:tcW w:w="3701" w:type="dxa"/>
          </w:tcPr>
          <w:p w14:paraId="078E23E5" w14:textId="77777777" w:rsidR="004672A2" w:rsidRDefault="004672A2" w:rsidP="005609BA">
            <w:r w:rsidRPr="004535E3">
              <w:rPr>
                <w:b/>
              </w:rPr>
              <w:t>Facilitator:</w:t>
            </w:r>
          </w:p>
        </w:tc>
      </w:tr>
    </w:tbl>
    <w:p w14:paraId="703AECB0" w14:textId="77777777" w:rsidR="004672A2" w:rsidRDefault="004672A2" w:rsidP="004672A2"/>
    <w:tbl>
      <w:tblPr>
        <w:tblStyle w:val="TableGrid"/>
        <w:tblW w:w="0" w:type="auto"/>
        <w:tblLook w:val="04A0" w:firstRow="1" w:lastRow="0" w:firstColumn="1" w:lastColumn="0" w:noHBand="0" w:noVBand="1"/>
      </w:tblPr>
      <w:tblGrid>
        <w:gridCol w:w="3888"/>
        <w:gridCol w:w="1616"/>
        <w:gridCol w:w="979"/>
        <w:gridCol w:w="1280"/>
        <w:gridCol w:w="1469"/>
        <w:gridCol w:w="3718"/>
      </w:tblGrid>
      <w:tr w:rsidR="004672A2" w:rsidRPr="00135A01" w14:paraId="02F8B594" w14:textId="77777777" w:rsidTr="005609BA">
        <w:trPr>
          <w:tblHeader/>
        </w:trPr>
        <w:tc>
          <w:tcPr>
            <w:tcW w:w="4510" w:type="dxa"/>
            <w:shd w:val="clear" w:color="auto" w:fill="D9D9D9" w:themeFill="background1" w:themeFillShade="D9"/>
            <w:vAlign w:val="center"/>
          </w:tcPr>
          <w:p w14:paraId="1F971759" w14:textId="77777777" w:rsidR="004672A2" w:rsidRDefault="004672A2" w:rsidP="005609BA">
            <w:pPr>
              <w:jc w:val="center"/>
              <w:rPr>
                <w:b/>
              </w:rPr>
            </w:pPr>
            <w:r>
              <w:rPr>
                <w:b/>
              </w:rPr>
              <w:t xml:space="preserve">Recommended </w:t>
            </w:r>
            <w:r w:rsidRPr="00135A01">
              <w:rPr>
                <w:b/>
              </w:rPr>
              <w:t>Action Items</w:t>
            </w:r>
          </w:p>
          <w:p w14:paraId="02676B1B" w14:textId="77777777" w:rsidR="004672A2" w:rsidRPr="00135A01" w:rsidRDefault="004672A2" w:rsidP="005609BA">
            <w:pPr>
              <w:jc w:val="center"/>
              <w:rPr>
                <w:b/>
              </w:rPr>
            </w:pPr>
            <w:r>
              <w:rPr>
                <w:b/>
              </w:rPr>
              <w:t xml:space="preserve"> (Use the Action item(s) that C</w:t>
            </w:r>
            <w:r w:rsidRPr="00135A01">
              <w:rPr>
                <w:b/>
              </w:rPr>
              <w:t xml:space="preserve">orrespond to Root Cause </w:t>
            </w:r>
            <w:r>
              <w:rPr>
                <w:b/>
              </w:rPr>
              <w:t>Identified above</w:t>
            </w:r>
            <w:r w:rsidRPr="00135A01">
              <w:rPr>
                <w:b/>
              </w:rPr>
              <w:t>)</w:t>
            </w:r>
          </w:p>
        </w:tc>
        <w:tc>
          <w:tcPr>
            <w:tcW w:w="1709" w:type="dxa"/>
            <w:shd w:val="clear" w:color="auto" w:fill="D9D9D9" w:themeFill="background1" w:themeFillShade="D9"/>
            <w:vAlign w:val="center"/>
          </w:tcPr>
          <w:p w14:paraId="5484A002" w14:textId="77777777" w:rsidR="004672A2" w:rsidRPr="00135A01" w:rsidRDefault="004672A2" w:rsidP="005609BA">
            <w:pPr>
              <w:jc w:val="center"/>
              <w:rPr>
                <w:b/>
              </w:rPr>
            </w:pPr>
            <w:r w:rsidRPr="00135A01">
              <w:rPr>
                <w:b/>
              </w:rPr>
              <w:t>Responsible Team Member(s)</w:t>
            </w:r>
          </w:p>
        </w:tc>
        <w:tc>
          <w:tcPr>
            <w:tcW w:w="1079" w:type="dxa"/>
            <w:shd w:val="clear" w:color="auto" w:fill="D9D9D9" w:themeFill="background1" w:themeFillShade="D9"/>
            <w:vAlign w:val="center"/>
          </w:tcPr>
          <w:p w14:paraId="7EFB4537" w14:textId="77777777" w:rsidR="004672A2" w:rsidRPr="00135A01" w:rsidRDefault="004672A2" w:rsidP="005609BA">
            <w:pPr>
              <w:jc w:val="center"/>
              <w:rPr>
                <w:b/>
              </w:rPr>
            </w:pPr>
            <w:r w:rsidRPr="00135A01">
              <w:rPr>
                <w:b/>
              </w:rPr>
              <w:t>Start Date</w:t>
            </w:r>
          </w:p>
        </w:tc>
        <w:tc>
          <w:tcPr>
            <w:tcW w:w="1280" w:type="dxa"/>
            <w:shd w:val="clear" w:color="auto" w:fill="D9D9D9" w:themeFill="background1" w:themeFillShade="D9"/>
            <w:vAlign w:val="center"/>
          </w:tcPr>
          <w:p w14:paraId="089B53AF" w14:textId="77777777" w:rsidR="004672A2" w:rsidRPr="00135A01" w:rsidRDefault="004672A2" w:rsidP="005609BA">
            <w:pPr>
              <w:jc w:val="center"/>
              <w:rPr>
                <w:b/>
              </w:rPr>
            </w:pPr>
            <w:r w:rsidRPr="00135A01">
              <w:rPr>
                <w:b/>
              </w:rPr>
              <w:t>Estimated Completion Date</w:t>
            </w:r>
          </w:p>
        </w:tc>
        <w:tc>
          <w:tcPr>
            <w:tcW w:w="1529" w:type="dxa"/>
            <w:shd w:val="clear" w:color="auto" w:fill="D9D9D9" w:themeFill="background1" w:themeFillShade="D9"/>
            <w:vAlign w:val="center"/>
          </w:tcPr>
          <w:p w14:paraId="49E60810" w14:textId="77777777" w:rsidR="004672A2" w:rsidRPr="00135A01" w:rsidRDefault="004672A2" w:rsidP="005609BA">
            <w:pPr>
              <w:jc w:val="center"/>
              <w:rPr>
                <w:b/>
              </w:rPr>
            </w:pPr>
            <w:r w:rsidRPr="00135A01">
              <w:rPr>
                <w:b/>
              </w:rPr>
              <w:t>Actual Completion Date</w:t>
            </w:r>
          </w:p>
        </w:tc>
        <w:tc>
          <w:tcPr>
            <w:tcW w:w="4509" w:type="dxa"/>
            <w:shd w:val="clear" w:color="auto" w:fill="D9D9D9" w:themeFill="background1" w:themeFillShade="D9"/>
            <w:vAlign w:val="center"/>
          </w:tcPr>
          <w:p w14:paraId="18D01D17" w14:textId="77777777" w:rsidR="004672A2" w:rsidRPr="00135A01" w:rsidRDefault="004672A2" w:rsidP="005609BA">
            <w:pPr>
              <w:jc w:val="center"/>
              <w:rPr>
                <w:b/>
              </w:rPr>
            </w:pPr>
            <w:r w:rsidRPr="00135A01">
              <w:rPr>
                <w:b/>
              </w:rPr>
              <w:t>Comments</w:t>
            </w:r>
          </w:p>
        </w:tc>
      </w:tr>
      <w:tr w:rsidR="004672A2" w14:paraId="22DF41A0" w14:textId="77777777" w:rsidTr="005609BA">
        <w:trPr>
          <w:trHeight w:val="1142"/>
        </w:trPr>
        <w:tc>
          <w:tcPr>
            <w:tcW w:w="4510" w:type="dxa"/>
          </w:tcPr>
          <w:p w14:paraId="1A5AA76A" w14:textId="77777777" w:rsidR="004672A2" w:rsidRDefault="004672A2" w:rsidP="005609BA">
            <w:pPr>
              <w:spacing w:after="100" w:afterAutospacing="1"/>
              <w:rPr>
                <w:rFonts w:ascii="Calibri" w:eastAsia="Calibri" w:hAnsi="Calibri" w:cs="Times New Roman"/>
              </w:rPr>
            </w:pPr>
            <w:r w:rsidRPr="004645DC">
              <w:rPr>
                <w:rFonts w:ascii="Calibri" w:eastAsia="Calibri" w:hAnsi="Calibri" w:cs="Times New Roman"/>
              </w:rPr>
              <w:t>Pharmacist and MD documentation guidelines updated with new regulatory language</w:t>
            </w:r>
            <w:r>
              <w:rPr>
                <w:rFonts w:ascii="Calibri" w:eastAsia="Calibri" w:hAnsi="Calibri" w:cs="Times New Roman"/>
              </w:rPr>
              <w:t>.</w:t>
            </w:r>
          </w:p>
          <w:p w14:paraId="7F0AF79A" w14:textId="77777777" w:rsidR="004672A2" w:rsidRDefault="004672A2" w:rsidP="005609BA">
            <w:pPr>
              <w:spacing w:after="100" w:afterAutospacing="1"/>
              <w:rPr>
                <w:rFonts w:ascii="Calibri" w:eastAsia="Calibri" w:hAnsi="Calibri"/>
              </w:rPr>
            </w:pPr>
          </w:p>
          <w:p w14:paraId="22D54D47" w14:textId="5657BD6E" w:rsidR="004672A2" w:rsidRPr="000A5C2B" w:rsidRDefault="004672A2" w:rsidP="005609BA">
            <w:pPr>
              <w:spacing w:after="100" w:afterAutospacing="1"/>
              <w:rPr>
                <w:rFonts w:ascii="Calibri" w:eastAsia="Calibri" w:hAnsi="Calibri"/>
              </w:rPr>
            </w:pPr>
          </w:p>
        </w:tc>
        <w:tc>
          <w:tcPr>
            <w:tcW w:w="1709" w:type="dxa"/>
          </w:tcPr>
          <w:p w14:paraId="6C025703" w14:textId="77777777" w:rsidR="004672A2" w:rsidRDefault="004672A2" w:rsidP="005609BA"/>
          <w:p w14:paraId="30D0ED1A" w14:textId="77777777" w:rsidR="004672A2" w:rsidRDefault="004672A2" w:rsidP="005609BA"/>
          <w:p w14:paraId="5A24BE35" w14:textId="77777777" w:rsidR="004672A2" w:rsidRDefault="004672A2" w:rsidP="005609BA"/>
          <w:p w14:paraId="4EA1E732" w14:textId="77777777" w:rsidR="004672A2" w:rsidRDefault="004672A2" w:rsidP="005609BA"/>
        </w:tc>
        <w:tc>
          <w:tcPr>
            <w:tcW w:w="1079" w:type="dxa"/>
          </w:tcPr>
          <w:p w14:paraId="342F513E" w14:textId="77777777" w:rsidR="004672A2" w:rsidRDefault="004672A2" w:rsidP="005609BA"/>
        </w:tc>
        <w:tc>
          <w:tcPr>
            <w:tcW w:w="1280" w:type="dxa"/>
          </w:tcPr>
          <w:p w14:paraId="164C7677" w14:textId="77777777" w:rsidR="004672A2" w:rsidRDefault="004672A2" w:rsidP="005609BA"/>
        </w:tc>
        <w:tc>
          <w:tcPr>
            <w:tcW w:w="1529" w:type="dxa"/>
          </w:tcPr>
          <w:p w14:paraId="0E697CE3" w14:textId="77777777" w:rsidR="004672A2" w:rsidRDefault="004672A2" w:rsidP="005609BA"/>
        </w:tc>
        <w:tc>
          <w:tcPr>
            <w:tcW w:w="4509" w:type="dxa"/>
          </w:tcPr>
          <w:p w14:paraId="7FE8D924" w14:textId="77777777" w:rsidR="004672A2" w:rsidRDefault="004672A2" w:rsidP="005609BA"/>
        </w:tc>
      </w:tr>
      <w:tr w:rsidR="004672A2" w14:paraId="5151C1C2" w14:textId="77777777" w:rsidTr="005609BA">
        <w:tc>
          <w:tcPr>
            <w:tcW w:w="4510" w:type="dxa"/>
          </w:tcPr>
          <w:p w14:paraId="69E5613A" w14:textId="77777777" w:rsidR="004672A2" w:rsidRPr="004645DC" w:rsidRDefault="004672A2" w:rsidP="005609BA">
            <w:pPr>
              <w:rPr>
                <w:rFonts w:ascii="Calibri" w:eastAsia="Calibri" w:hAnsi="Calibri" w:cs="Times New Roman"/>
              </w:rPr>
            </w:pPr>
            <w:r w:rsidRPr="004645DC">
              <w:rPr>
                <w:rFonts w:ascii="Calibri" w:eastAsia="Calibri" w:hAnsi="Calibri" w:cs="Times New Roman"/>
              </w:rPr>
              <w:t xml:space="preserve">Update a system for the pharmacist to track </w:t>
            </w:r>
          </w:p>
          <w:p w14:paraId="1FCFE090" w14:textId="0173EDF6" w:rsidR="004672A2" w:rsidRDefault="004672A2" w:rsidP="005609BA">
            <w:pPr>
              <w:spacing w:after="100" w:afterAutospacing="1"/>
              <w:rPr>
                <w:rFonts w:ascii="Calibri" w:eastAsia="Calibri" w:hAnsi="Calibri" w:cs="Times New Roman"/>
              </w:rPr>
            </w:pPr>
            <w:r w:rsidRPr="4D441A08">
              <w:rPr>
                <w:rFonts w:ascii="Calibri" w:eastAsia="Calibri" w:hAnsi="Calibri" w:cs="Times New Roman"/>
              </w:rPr>
              <w:t>responses to recommendations and has a process in place to address issues that do not receive a timely response</w:t>
            </w:r>
            <w:r>
              <w:rPr>
                <w:rFonts w:ascii="Calibri" w:eastAsia="Calibri" w:hAnsi="Calibri" w:cs="Times New Roman"/>
              </w:rPr>
              <w:t>.</w:t>
            </w:r>
          </w:p>
          <w:p w14:paraId="577CA4D2" w14:textId="77777777" w:rsidR="004672A2" w:rsidRDefault="004672A2" w:rsidP="005609BA">
            <w:pPr>
              <w:spacing w:after="100" w:afterAutospacing="1"/>
              <w:rPr>
                <w:rFonts w:ascii="Calibri" w:eastAsia="Calibri" w:hAnsi="Calibri" w:cs="Times New Roman"/>
              </w:rPr>
            </w:pPr>
          </w:p>
          <w:p w14:paraId="04E6BCC6" w14:textId="77777777" w:rsidR="004672A2" w:rsidRPr="00793AE6" w:rsidRDefault="004672A2" w:rsidP="005609BA">
            <w:pPr>
              <w:spacing w:after="100" w:afterAutospacing="1"/>
              <w:rPr>
                <w:rFonts w:ascii="Calibri" w:eastAsia="Calibri" w:hAnsi="Calibri"/>
              </w:rPr>
            </w:pPr>
          </w:p>
        </w:tc>
        <w:tc>
          <w:tcPr>
            <w:tcW w:w="1709" w:type="dxa"/>
          </w:tcPr>
          <w:p w14:paraId="22E49DD8" w14:textId="77777777" w:rsidR="004672A2" w:rsidRDefault="004672A2" w:rsidP="005609BA"/>
        </w:tc>
        <w:tc>
          <w:tcPr>
            <w:tcW w:w="1079" w:type="dxa"/>
          </w:tcPr>
          <w:p w14:paraId="37883DDD" w14:textId="77777777" w:rsidR="004672A2" w:rsidRDefault="004672A2" w:rsidP="005609BA"/>
        </w:tc>
        <w:tc>
          <w:tcPr>
            <w:tcW w:w="1280" w:type="dxa"/>
          </w:tcPr>
          <w:p w14:paraId="00BA0B53" w14:textId="77777777" w:rsidR="004672A2" w:rsidRDefault="004672A2" w:rsidP="005609BA"/>
        </w:tc>
        <w:tc>
          <w:tcPr>
            <w:tcW w:w="1529" w:type="dxa"/>
          </w:tcPr>
          <w:p w14:paraId="7C511FED" w14:textId="77777777" w:rsidR="004672A2" w:rsidRDefault="004672A2" w:rsidP="005609BA"/>
        </w:tc>
        <w:tc>
          <w:tcPr>
            <w:tcW w:w="4509" w:type="dxa"/>
          </w:tcPr>
          <w:p w14:paraId="4F42D0D1" w14:textId="77777777" w:rsidR="004672A2" w:rsidRDefault="004672A2" w:rsidP="005609BA"/>
        </w:tc>
      </w:tr>
      <w:tr w:rsidR="004672A2" w14:paraId="290B0A85" w14:textId="77777777" w:rsidTr="005609BA">
        <w:tc>
          <w:tcPr>
            <w:tcW w:w="4510" w:type="dxa"/>
          </w:tcPr>
          <w:p w14:paraId="48831587" w14:textId="77777777" w:rsidR="004672A2" w:rsidRDefault="004672A2" w:rsidP="005609BA">
            <w:pPr>
              <w:rPr>
                <w:rFonts w:ascii="Calibri" w:eastAsia="Calibri" w:hAnsi="Calibri" w:cs="Times New Roman"/>
              </w:rPr>
            </w:pPr>
            <w:r w:rsidRPr="4D441A08">
              <w:rPr>
                <w:rFonts w:ascii="Calibri" w:eastAsia="Calibri" w:hAnsi="Calibri" w:cs="Times New Roman"/>
              </w:rPr>
              <w:t>Update a system for the DON to track responses to recommendations and has a process in place to address issues that do not receive a timely response</w:t>
            </w:r>
            <w:r>
              <w:rPr>
                <w:rFonts w:ascii="Calibri" w:eastAsia="Calibri" w:hAnsi="Calibri" w:cs="Times New Roman"/>
              </w:rPr>
              <w:t>.</w:t>
            </w:r>
          </w:p>
          <w:p w14:paraId="2AFD66A6" w14:textId="77777777" w:rsidR="004672A2" w:rsidRDefault="004672A2" w:rsidP="005609BA">
            <w:pPr>
              <w:rPr>
                <w:rFonts w:ascii="Calibri" w:eastAsia="Calibri" w:hAnsi="Calibri" w:cs="Times New Roman"/>
              </w:rPr>
            </w:pPr>
          </w:p>
          <w:p w14:paraId="67DDC504" w14:textId="1E22755E" w:rsidR="004672A2" w:rsidRDefault="004672A2" w:rsidP="005609BA">
            <w:pPr>
              <w:rPr>
                <w:rFonts w:ascii="Calibri" w:eastAsia="Calibri" w:hAnsi="Calibri" w:cs="Times New Roman"/>
              </w:rPr>
            </w:pPr>
          </w:p>
        </w:tc>
        <w:tc>
          <w:tcPr>
            <w:tcW w:w="1709" w:type="dxa"/>
          </w:tcPr>
          <w:p w14:paraId="41DC16A6" w14:textId="77777777" w:rsidR="004672A2" w:rsidRDefault="004672A2" w:rsidP="005609BA"/>
        </w:tc>
        <w:tc>
          <w:tcPr>
            <w:tcW w:w="1079" w:type="dxa"/>
          </w:tcPr>
          <w:p w14:paraId="335DC33C" w14:textId="77777777" w:rsidR="004672A2" w:rsidRDefault="004672A2" w:rsidP="005609BA"/>
        </w:tc>
        <w:tc>
          <w:tcPr>
            <w:tcW w:w="1280" w:type="dxa"/>
          </w:tcPr>
          <w:p w14:paraId="2F17A1F9" w14:textId="77777777" w:rsidR="004672A2" w:rsidRDefault="004672A2" w:rsidP="005609BA"/>
        </w:tc>
        <w:tc>
          <w:tcPr>
            <w:tcW w:w="1529" w:type="dxa"/>
          </w:tcPr>
          <w:p w14:paraId="38ADAABE" w14:textId="77777777" w:rsidR="004672A2" w:rsidRDefault="004672A2" w:rsidP="005609BA"/>
        </w:tc>
        <w:tc>
          <w:tcPr>
            <w:tcW w:w="4509" w:type="dxa"/>
          </w:tcPr>
          <w:p w14:paraId="797C1A54" w14:textId="77777777" w:rsidR="004672A2" w:rsidRDefault="004672A2" w:rsidP="005609BA"/>
        </w:tc>
      </w:tr>
      <w:tr w:rsidR="004672A2" w14:paraId="791BBBA8" w14:textId="77777777" w:rsidTr="005609BA">
        <w:tc>
          <w:tcPr>
            <w:tcW w:w="4510" w:type="dxa"/>
          </w:tcPr>
          <w:p w14:paraId="279F497D" w14:textId="77777777" w:rsidR="004672A2" w:rsidRDefault="004672A2" w:rsidP="005609BA">
            <w:pPr>
              <w:rPr>
                <w:rFonts w:ascii="Calibri" w:eastAsia="Calibri" w:hAnsi="Calibri" w:cs="Times New Roman"/>
              </w:rPr>
            </w:pPr>
            <w:r w:rsidRPr="004645DC">
              <w:rPr>
                <w:rFonts w:ascii="Calibri" w:eastAsia="Calibri" w:hAnsi="Calibri" w:cs="Times New Roman"/>
              </w:rPr>
              <w:t>Ensure pharmacy recommendations are part of the resident’s medical record or are kept in the facility for reference</w:t>
            </w:r>
            <w:r>
              <w:rPr>
                <w:rFonts w:ascii="Calibri" w:eastAsia="Calibri" w:hAnsi="Calibri" w:cs="Times New Roman"/>
              </w:rPr>
              <w:t>.</w:t>
            </w:r>
          </w:p>
          <w:p w14:paraId="24D30A97" w14:textId="77777777" w:rsidR="004672A2" w:rsidRDefault="004672A2" w:rsidP="005609BA">
            <w:pPr>
              <w:rPr>
                <w:rFonts w:ascii="Calibri" w:eastAsia="Calibri" w:hAnsi="Calibri" w:cs="Melior"/>
              </w:rPr>
            </w:pPr>
          </w:p>
          <w:p w14:paraId="4F4A15F3" w14:textId="77777777" w:rsidR="004672A2" w:rsidRPr="000A5C2B" w:rsidRDefault="004672A2" w:rsidP="005609BA">
            <w:pPr>
              <w:rPr>
                <w:rFonts w:ascii="Calibri" w:eastAsia="Calibri" w:hAnsi="Calibri" w:cs="Melior"/>
              </w:rPr>
            </w:pPr>
          </w:p>
        </w:tc>
        <w:tc>
          <w:tcPr>
            <w:tcW w:w="1709" w:type="dxa"/>
          </w:tcPr>
          <w:p w14:paraId="6838F5F9" w14:textId="77777777" w:rsidR="004672A2" w:rsidRDefault="004672A2" w:rsidP="005609BA"/>
        </w:tc>
        <w:tc>
          <w:tcPr>
            <w:tcW w:w="1079" w:type="dxa"/>
          </w:tcPr>
          <w:p w14:paraId="6C414478" w14:textId="77777777" w:rsidR="004672A2" w:rsidRDefault="004672A2" w:rsidP="005609BA"/>
        </w:tc>
        <w:tc>
          <w:tcPr>
            <w:tcW w:w="1280" w:type="dxa"/>
          </w:tcPr>
          <w:p w14:paraId="1EECA8D5" w14:textId="77777777" w:rsidR="004672A2" w:rsidRDefault="004672A2" w:rsidP="005609BA"/>
        </w:tc>
        <w:tc>
          <w:tcPr>
            <w:tcW w:w="1529" w:type="dxa"/>
          </w:tcPr>
          <w:p w14:paraId="7815A2F5" w14:textId="77777777" w:rsidR="004672A2" w:rsidRDefault="004672A2" w:rsidP="005609BA"/>
        </w:tc>
        <w:tc>
          <w:tcPr>
            <w:tcW w:w="4509" w:type="dxa"/>
          </w:tcPr>
          <w:p w14:paraId="711977F4" w14:textId="77777777" w:rsidR="004672A2" w:rsidRDefault="004672A2" w:rsidP="005609BA"/>
        </w:tc>
      </w:tr>
      <w:tr w:rsidR="004672A2" w14:paraId="4A5EC004" w14:textId="77777777" w:rsidTr="005609BA">
        <w:tc>
          <w:tcPr>
            <w:tcW w:w="4510" w:type="dxa"/>
          </w:tcPr>
          <w:p w14:paraId="37FB0B27" w14:textId="77777777" w:rsidR="004672A2" w:rsidRDefault="004672A2" w:rsidP="005609BA">
            <w:pPr>
              <w:spacing w:after="100" w:afterAutospacing="1"/>
              <w:rPr>
                <w:rFonts w:ascii="Calibri" w:eastAsia="Calibri" w:hAnsi="Calibri" w:cs="Times New Roman"/>
              </w:rPr>
            </w:pPr>
            <w:r w:rsidRPr="004645DC">
              <w:rPr>
                <w:rFonts w:ascii="Calibri" w:eastAsia="Calibri" w:hAnsi="Calibri" w:cs="Times New Roman"/>
              </w:rPr>
              <w:lastRenderedPageBreak/>
              <w:t>Review system for notification and review with Medical Director related to requirements, Practitioner’s responses and documentat</w:t>
            </w:r>
            <w:r>
              <w:rPr>
                <w:rFonts w:ascii="Calibri" w:eastAsia="Calibri" w:hAnsi="Calibri" w:cs="Times New Roman"/>
              </w:rPr>
              <w:t>ion of pharmacy recommendations.</w:t>
            </w:r>
          </w:p>
          <w:p w14:paraId="34E79908" w14:textId="77777777" w:rsidR="004672A2" w:rsidRDefault="004672A2" w:rsidP="005609BA">
            <w:pPr>
              <w:spacing w:after="100" w:afterAutospacing="1"/>
            </w:pPr>
          </w:p>
        </w:tc>
        <w:tc>
          <w:tcPr>
            <w:tcW w:w="1709" w:type="dxa"/>
          </w:tcPr>
          <w:p w14:paraId="33E694C9" w14:textId="77777777" w:rsidR="004672A2" w:rsidRDefault="004672A2" w:rsidP="005609BA"/>
        </w:tc>
        <w:tc>
          <w:tcPr>
            <w:tcW w:w="1079" w:type="dxa"/>
          </w:tcPr>
          <w:p w14:paraId="2FE6A46F" w14:textId="77777777" w:rsidR="004672A2" w:rsidRDefault="004672A2" w:rsidP="005609BA"/>
        </w:tc>
        <w:tc>
          <w:tcPr>
            <w:tcW w:w="1280" w:type="dxa"/>
          </w:tcPr>
          <w:p w14:paraId="3E3EFFC1" w14:textId="77777777" w:rsidR="004672A2" w:rsidRDefault="004672A2" w:rsidP="005609BA"/>
        </w:tc>
        <w:tc>
          <w:tcPr>
            <w:tcW w:w="1529" w:type="dxa"/>
          </w:tcPr>
          <w:p w14:paraId="11E66941" w14:textId="77777777" w:rsidR="004672A2" w:rsidRDefault="004672A2" w:rsidP="005609BA"/>
        </w:tc>
        <w:tc>
          <w:tcPr>
            <w:tcW w:w="4509" w:type="dxa"/>
          </w:tcPr>
          <w:p w14:paraId="4F60A9CB" w14:textId="77777777" w:rsidR="004672A2" w:rsidRDefault="004672A2" w:rsidP="005609BA"/>
        </w:tc>
      </w:tr>
      <w:tr w:rsidR="004672A2" w14:paraId="396E925A" w14:textId="77777777" w:rsidTr="005609BA">
        <w:tc>
          <w:tcPr>
            <w:tcW w:w="4510" w:type="dxa"/>
          </w:tcPr>
          <w:p w14:paraId="2FF9292E" w14:textId="77777777" w:rsidR="004672A2" w:rsidRDefault="004672A2" w:rsidP="005609BA">
            <w:pPr>
              <w:rPr>
                <w:rFonts w:ascii="Calibri" w:eastAsia="Calibri" w:hAnsi="Calibri"/>
                <w:i/>
              </w:rPr>
            </w:pPr>
            <w:r>
              <w:rPr>
                <w:rFonts w:ascii="Calibri" w:eastAsia="Calibri" w:hAnsi="Calibri"/>
                <w:i/>
              </w:rPr>
              <w:t>(Include State/Facility Specific items, as applicable):</w:t>
            </w:r>
          </w:p>
          <w:p w14:paraId="04AD8762" w14:textId="77777777" w:rsidR="004672A2" w:rsidRDefault="004672A2" w:rsidP="005609BA">
            <w:pPr>
              <w:rPr>
                <w:rFonts w:ascii="Calibri" w:eastAsia="Calibri" w:hAnsi="Calibri"/>
                <w:i/>
              </w:rPr>
            </w:pPr>
          </w:p>
          <w:p w14:paraId="102F5A86" w14:textId="77777777" w:rsidR="004672A2" w:rsidRDefault="004672A2" w:rsidP="005609BA">
            <w:pPr>
              <w:rPr>
                <w:rFonts w:ascii="Calibri" w:eastAsia="Calibri" w:hAnsi="Calibri"/>
                <w:i/>
              </w:rPr>
            </w:pPr>
          </w:p>
          <w:p w14:paraId="03B088B2" w14:textId="77777777" w:rsidR="004672A2" w:rsidRDefault="004672A2" w:rsidP="005609BA">
            <w:pPr>
              <w:rPr>
                <w:rFonts w:ascii="Calibri" w:eastAsia="Calibri" w:hAnsi="Calibri"/>
                <w:i/>
              </w:rPr>
            </w:pPr>
          </w:p>
          <w:p w14:paraId="2678C91E" w14:textId="77777777" w:rsidR="004672A2" w:rsidRPr="00BE3921" w:rsidRDefault="004672A2" w:rsidP="005609BA">
            <w:pPr>
              <w:rPr>
                <w:rFonts w:ascii="Calibri" w:eastAsia="Calibri" w:hAnsi="Calibri"/>
                <w:i/>
              </w:rPr>
            </w:pPr>
          </w:p>
        </w:tc>
        <w:tc>
          <w:tcPr>
            <w:tcW w:w="1709" w:type="dxa"/>
          </w:tcPr>
          <w:p w14:paraId="02C83D13" w14:textId="77777777" w:rsidR="004672A2" w:rsidRDefault="004672A2" w:rsidP="005609BA"/>
        </w:tc>
        <w:tc>
          <w:tcPr>
            <w:tcW w:w="1079" w:type="dxa"/>
          </w:tcPr>
          <w:p w14:paraId="56DBA5B8" w14:textId="77777777" w:rsidR="004672A2" w:rsidRDefault="004672A2" w:rsidP="005609BA"/>
        </w:tc>
        <w:tc>
          <w:tcPr>
            <w:tcW w:w="1280" w:type="dxa"/>
          </w:tcPr>
          <w:p w14:paraId="437156F1" w14:textId="77777777" w:rsidR="004672A2" w:rsidRDefault="004672A2" w:rsidP="005609BA"/>
        </w:tc>
        <w:tc>
          <w:tcPr>
            <w:tcW w:w="1529" w:type="dxa"/>
          </w:tcPr>
          <w:p w14:paraId="6E2136E3" w14:textId="77777777" w:rsidR="004672A2" w:rsidRDefault="004672A2" w:rsidP="005609BA"/>
        </w:tc>
        <w:tc>
          <w:tcPr>
            <w:tcW w:w="4509" w:type="dxa"/>
          </w:tcPr>
          <w:p w14:paraId="0B438C6B" w14:textId="77777777" w:rsidR="004672A2" w:rsidRDefault="004672A2" w:rsidP="005609BA"/>
        </w:tc>
      </w:tr>
      <w:tr w:rsidR="004672A2" w14:paraId="6F860F0D" w14:textId="77777777" w:rsidTr="005609BA">
        <w:tc>
          <w:tcPr>
            <w:tcW w:w="4510" w:type="dxa"/>
          </w:tcPr>
          <w:p w14:paraId="61F16A59" w14:textId="77777777" w:rsidR="004672A2" w:rsidRDefault="004672A2" w:rsidP="005609BA">
            <w:pPr>
              <w:rPr>
                <w:rFonts w:ascii="Calibri" w:eastAsia="Calibri" w:hAnsi="Calibri"/>
                <w:i/>
              </w:rPr>
            </w:pPr>
            <w:r>
              <w:rPr>
                <w:rFonts w:ascii="Calibri" w:eastAsia="Calibri" w:hAnsi="Calibri"/>
                <w:i/>
              </w:rPr>
              <w:t>(Include State/Facility Specific items, as applicable):</w:t>
            </w:r>
          </w:p>
          <w:p w14:paraId="0589C881" w14:textId="77777777" w:rsidR="004672A2" w:rsidRDefault="004672A2" w:rsidP="005609BA">
            <w:pPr>
              <w:rPr>
                <w:rFonts w:ascii="Calibri" w:eastAsia="Calibri" w:hAnsi="Calibri"/>
                <w:i/>
              </w:rPr>
            </w:pPr>
          </w:p>
          <w:p w14:paraId="11DDAD1F" w14:textId="77777777" w:rsidR="004672A2" w:rsidRDefault="004672A2" w:rsidP="005609BA">
            <w:pPr>
              <w:rPr>
                <w:rFonts w:ascii="Calibri" w:eastAsia="Calibri" w:hAnsi="Calibri"/>
                <w:i/>
              </w:rPr>
            </w:pPr>
          </w:p>
          <w:p w14:paraId="004730D8" w14:textId="77777777" w:rsidR="004672A2" w:rsidRDefault="004672A2" w:rsidP="005609BA">
            <w:pPr>
              <w:rPr>
                <w:rFonts w:ascii="Calibri" w:eastAsia="Calibri" w:hAnsi="Calibri"/>
                <w:i/>
              </w:rPr>
            </w:pPr>
          </w:p>
          <w:p w14:paraId="462972E2" w14:textId="77777777" w:rsidR="004672A2" w:rsidRDefault="004672A2" w:rsidP="005609BA">
            <w:pPr>
              <w:rPr>
                <w:rFonts w:ascii="Calibri" w:eastAsia="Calibri" w:hAnsi="Calibri"/>
                <w:i/>
              </w:rPr>
            </w:pPr>
          </w:p>
        </w:tc>
        <w:tc>
          <w:tcPr>
            <w:tcW w:w="1709" w:type="dxa"/>
          </w:tcPr>
          <w:p w14:paraId="3F292C95" w14:textId="77777777" w:rsidR="004672A2" w:rsidRDefault="004672A2" w:rsidP="005609BA"/>
        </w:tc>
        <w:tc>
          <w:tcPr>
            <w:tcW w:w="1079" w:type="dxa"/>
          </w:tcPr>
          <w:p w14:paraId="29A0283F" w14:textId="77777777" w:rsidR="004672A2" w:rsidRDefault="004672A2" w:rsidP="005609BA"/>
        </w:tc>
        <w:tc>
          <w:tcPr>
            <w:tcW w:w="1280" w:type="dxa"/>
          </w:tcPr>
          <w:p w14:paraId="0034C3BF" w14:textId="77777777" w:rsidR="004672A2" w:rsidRDefault="004672A2" w:rsidP="005609BA"/>
        </w:tc>
        <w:tc>
          <w:tcPr>
            <w:tcW w:w="1529" w:type="dxa"/>
          </w:tcPr>
          <w:p w14:paraId="0346151D" w14:textId="77777777" w:rsidR="004672A2" w:rsidRDefault="004672A2" w:rsidP="005609BA"/>
        </w:tc>
        <w:tc>
          <w:tcPr>
            <w:tcW w:w="4509" w:type="dxa"/>
          </w:tcPr>
          <w:p w14:paraId="32A498C8" w14:textId="77777777" w:rsidR="004672A2" w:rsidRDefault="004672A2" w:rsidP="005609BA"/>
        </w:tc>
      </w:tr>
      <w:tr w:rsidR="004672A2" w14:paraId="21DA8DBE" w14:textId="77777777" w:rsidTr="005609BA">
        <w:tc>
          <w:tcPr>
            <w:tcW w:w="4510" w:type="dxa"/>
          </w:tcPr>
          <w:p w14:paraId="04FC60F2" w14:textId="77777777" w:rsidR="004672A2" w:rsidRDefault="004672A2" w:rsidP="005609BA">
            <w:pPr>
              <w:rPr>
                <w:rFonts w:ascii="Calibri" w:eastAsia="Calibri" w:hAnsi="Calibri"/>
                <w:i/>
              </w:rPr>
            </w:pPr>
            <w:r>
              <w:rPr>
                <w:rFonts w:ascii="Calibri" w:eastAsia="Calibri" w:hAnsi="Calibri"/>
                <w:i/>
              </w:rPr>
              <w:t>(Include State/Facility Specific items, as applicable):</w:t>
            </w:r>
          </w:p>
          <w:p w14:paraId="611FDF7B" w14:textId="77777777" w:rsidR="004672A2" w:rsidRDefault="004672A2" w:rsidP="005609BA">
            <w:pPr>
              <w:rPr>
                <w:rFonts w:ascii="Calibri" w:eastAsia="Calibri" w:hAnsi="Calibri"/>
                <w:i/>
              </w:rPr>
            </w:pPr>
          </w:p>
          <w:p w14:paraId="1ECD5B09" w14:textId="77777777" w:rsidR="004672A2" w:rsidRDefault="004672A2" w:rsidP="005609BA">
            <w:pPr>
              <w:rPr>
                <w:rFonts w:ascii="Calibri" w:eastAsia="Calibri" w:hAnsi="Calibri"/>
                <w:i/>
              </w:rPr>
            </w:pPr>
          </w:p>
          <w:p w14:paraId="472A2A95" w14:textId="77777777" w:rsidR="004672A2" w:rsidRDefault="004672A2" w:rsidP="005609BA">
            <w:pPr>
              <w:rPr>
                <w:rFonts w:ascii="Calibri" w:eastAsia="Calibri" w:hAnsi="Calibri"/>
                <w:i/>
              </w:rPr>
            </w:pPr>
          </w:p>
          <w:p w14:paraId="37B06674" w14:textId="77777777" w:rsidR="004672A2" w:rsidRDefault="004672A2" w:rsidP="005609BA">
            <w:pPr>
              <w:rPr>
                <w:rFonts w:ascii="Calibri" w:eastAsia="Calibri" w:hAnsi="Calibri"/>
                <w:i/>
              </w:rPr>
            </w:pPr>
          </w:p>
        </w:tc>
        <w:tc>
          <w:tcPr>
            <w:tcW w:w="1709" w:type="dxa"/>
          </w:tcPr>
          <w:p w14:paraId="05573F32" w14:textId="77777777" w:rsidR="004672A2" w:rsidRDefault="004672A2" w:rsidP="005609BA"/>
        </w:tc>
        <w:tc>
          <w:tcPr>
            <w:tcW w:w="1079" w:type="dxa"/>
          </w:tcPr>
          <w:p w14:paraId="7F20067A" w14:textId="77777777" w:rsidR="004672A2" w:rsidRDefault="004672A2" w:rsidP="005609BA"/>
        </w:tc>
        <w:tc>
          <w:tcPr>
            <w:tcW w:w="1280" w:type="dxa"/>
          </w:tcPr>
          <w:p w14:paraId="0AA561B2" w14:textId="77777777" w:rsidR="004672A2" w:rsidRDefault="004672A2" w:rsidP="005609BA"/>
        </w:tc>
        <w:tc>
          <w:tcPr>
            <w:tcW w:w="1529" w:type="dxa"/>
          </w:tcPr>
          <w:p w14:paraId="05A1A862" w14:textId="77777777" w:rsidR="004672A2" w:rsidRDefault="004672A2" w:rsidP="005609BA"/>
        </w:tc>
        <w:tc>
          <w:tcPr>
            <w:tcW w:w="4509" w:type="dxa"/>
          </w:tcPr>
          <w:p w14:paraId="25C56C5A" w14:textId="77777777" w:rsidR="004672A2" w:rsidRDefault="004672A2" w:rsidP="005609BA"/>
        </w:tc>
      </w:tr>
    </w:tbl>
    <w:p w14:paraId="587C6BB8" w14:textId="77777777" w:rsidR="004672A2" w:rsidRDefault="004672A2" w:rsidP="004672A2"/>
    <w:p w14:paraId="77E13340" w14:textId="2D3B3BB8" w:rsidR="00895110" w:rsidRPr="00EF0BD7" w:rsidRDefault="00895110" w:rsidP="00EF0BD7">
      <w:pPr>
        <w:spacing w:after="0" w:line="240" w:lineRule="auto"/>
      </w:pPr>
    </w:p>
    <w:sectPr w:rsidR="00895110" w:rsidRPr="00EF0BD7" w:rsidSect="00041B40">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45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9027" w14:textId="77777777" w:rsidR="000A024A" w:rsidRDefault="000A024A" w:rsidP="00041B40">
      <w:pPr>
        <w:spacing w:after="0" w:line="240" w:lineRule="auto"/>
      </w:pPr>
      <w:r>
        <w:separator/>
      </w:r>
    </w:p>
  </w:endnote>
  <w:endnote w:type="continuationSeparator" w:id="0">
    <w:p w14:paraId="51059E59" w14:textId="77777777" w:rsidR="000A024A" w:rsidRDefault="000A024A" w:rsidP="0004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CB70" w14:textId="77777777" w:rsidR="009145AE" w:rsidRDefault="0091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701" w14:textId="77777777" w:rsidR="00041B40" w:rsidRDefault="00041B40" w:rsidP="00041B40">
    <w:pPr>
      <w:pStyle w:val="Footer"/>
      <w:jc w:val="center"/>
      <w:rPr>
        <w:sz w:val="16"/>
        <w:szCs w:val="16"/>
      </w:rPr>
    </w:pPr>
    <w:r w:rsidRPr="00FE158D">
      <w:rPr>
        <w:sz w:val="16"/>
        <w:szCs w:val="16"/>
      </w:rPr>
      <w:t xml:space="preserve">This document is for general informational purposes only.  </w:t>
    </w:r>
  </w:p>
  <w:p w14:paraId="195AEAF4" w14:textId="77777777" w:rsidR="00041B40" w:rsidRDefault="00041B40" w:rsidP="00041B40">
    <w:pPr>
      <w:pStyle w:val="Footer"/>
      <w:jc w:val="center"/>
      <w:rPr>
        <w:sz w:val="16"/>
        <w:szCs w:val="16"/>
      </w:rPr>
    </w:pPr>
    <w:r w:rsidRPr="00FE158D">
      <w:rPr>
        <w:sz w:val="16"/>
        <w:szCs w:val="16"/>
      </w:rPr>
      <w:t>It does not represent legal advice nor relied upon as supporting d</w:t>
    </w:r>
    <w:r>
      <w:rPr>
        <w:sz w:val="16"/>
        <w:szCs w:val="16"/>
      </w:rPr>
      <w:t>ocumentation or advice with CMS or other regulatory entities.</w:t>
    </w:r>
  </w:p>
  <w:p w14:paraId="4FF43ED9" w14:textId="77777777" w:rsidR="00041B40" w:rsidRPr="00041B40" w:rsidRDefault="00041B40" w:rsidP="00041B40">
    <w:pPr>
      <w:pStyle w:val="Footer"/>
      <w:jc w:val="center"/>
      <w:rPr>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8BA7" w14:textId="77777777" w:rsidR="009145AE" w:rsidRDefault="0091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34C2" w14:textId="77777777" w:rsidR="000A024A" w:rsidRDefault="000A024A" w:rsidP="00041B40">
      <w:pPr>
        <w:spacing w:after="0" w:line="240" w:lineRule="auto"/>
      </w:pPr>
      <w:r>
        <w:separator/>
      </w:r>
    </w:p>
  </w:footnote>
  <w:footnote w:type="continuationSeparator" w:id="0">
    <w:p w14:paraId="27E13BE7" w14:textId="77777777" w:rsidR="000A024A" w:rsidRDefault="000A024A" w:rsidP="00041B40">
      <w:pPr>
        <w:spacing w:after="0" w:line="240" w:lineRule="auto"/>
      </w:pPr>
      <w:r>
        <w:continuationSeparator/>
      </w:r>
    </w:p>
  </w:footnote>
  <w:footnote w:id="1">
    <w:p w14:paraId="383D4670" w14:textId="77777777" w:rsidR="004672A2" w:rsidRPr="00727C0C" w:rsidRDefault="004672A2" w:rsidP="004672A2">
      <w:pPr>
        <w:spacing w:after="100" w:afterAutospacing="1"/>
        <w:contextualSpacing/>
        <w:rPr>
          <w:rFonts w:ascii="Calibri" w:hAnsi="Calibri" w:cs="Calibri"/>
          <w:sz w:val="20"/>
          <w:szCs w:val="20"/>
        </w:rPr>
      </w:pPr>
      <w:r w:rsidRPr="00727C0C">
        <w:rPr>
          <w:rStyle w:val="FootnoteReference"/>
          <w:sz w:val="20"/>
          <w:szCs w:val="20"/>
        </w:rPr>
        <w:footnoteRef/>
      </w:r>
      <w:r w:rsidRPr="00727C0C">
        <w:rPr>
          <w:sz w:val="20"/>
          <w:szCs w:val="20"/>
        </w:rPr>
        <w:t xml:space="preserve"> </w:t>
      </w:r>
      <w:bookmarkStart w:id="0" w:name="_Hlk1221526"/>
      <w:r w:rsidRPr="00727C0C">
        <w:rPr>
          <w:rFonts w:ascii="Calibri" w:eastAsia="MS Mincho" w:hAnsi="Calibri" w:cs="Calibri"/>
          <w:sz w:val="20"/>
          <w:szCs w:val="20"/>
        </w:rPr>
        <w:t xml:space="preserve">Centers for Medicare &amp; Medicaid Services State Operations Manual, Appendix PP – Guidance to Surveyors for Long Term Care Facilities (Rev. 173, 11-22-17) Advance Copy, 2022:  </w:t>
      </w:r>
      <w:hyperlink r:id="rId1" w:history="1">
        <w:r w:rsidRPr="00727C0C">
          <w:rPr>
            <w:rStyle w:val="Hyperlink"/>
            <w:rFonts w:ascii="Calibri" w:hAnsi="Calibri" w:cs="Calibri"/>
            <w:sz w:val="20"/>
            <w:szCs w:val="20"/>
          </w:rPr>
          <w:t>https://www.cms.gov/files/document/appendix-pp-guidance-surveyor-long-term-care-facilities.pdf</w:t>
        </w:r>
      </w:hyperlink>
      <w:r w:rsidRPr="00727C0C">
        <w:rPr>
          <w:rFonts w:ascii="Calibri" w:hAnsi="Calibri" w:cs="Calibri"/>
          <w:sz w:val="20"/>
          <w:szCs w:val="20"/>
        </w:rPr>
        <w:t xml:space="preserve"> </w:t>
      </w:r>
    </w:p>
    <w:p w14:paraId="21C4134D" w14:textId="77777777" w:rsidR="004672A2" w:rsidRPr="00024711" w:rsidRDefault="004672A2" w:rsidP="004672A2">
      <w:pPr>
        <w:rPr>
          <w:rFonts w:ascii="Cambria" w:eastAsia="MS Mincho" w:hAnsi="Cambria" w:cs="Times New Roman"/>
          <w:sz w:val="20"/>
          <w:szCs w:val="20"/>
        </w:rPr>
      </w:pPr>
    </w:p>
    <w:bookmarkEnd w:id="0"/>
    <w:p w14:paraId="7A2537ED" w14:textId="77777777" w:rsidR="004672A2" w:rsidRDefault="004672A2" w:rsidP="004672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F668" w14:textId="77777777" w:rsidR="009145AE" w:rsidRDefault="0091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3EC0" w14:textId="77777777" w:rsidR="00041B40" w:rsidRDefault="00041B40" w:rsidP="00041B40">
    <w:pPr>
      <w:pStyle w:val="Header"/>
      <w:tabs>
        <w:tab w:val="clear" w:pos="4680"/>
        <w:tab w:val="clear" w:pos="9360"/>
        <w:tab w:val="left" w:pos="720"/>
      </w:tabs>
    </w:pPr>
    <w:r>
      <w:tab/>
    </w:r>
    <w:r>
      <w:rPr>
        <w:noProof/>
      </w:rPr>
      <w:drawing>
        <wp:inline distT="0" distB="0" distL="0" distR="0" wp14:anchorId="2F89A685" wp14:editId="4EC60466">
          <wp:extent cx="22383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38375" cy="800100"/>
                  </a:xfrm>
                  <a:prstGeom prst="rect">
                    <a:avLst/>
                  </a:prstGeom>
                </pic:spPr>
              </pic:pic>
            </a:graphicData>
          </a:graphic>
        </wp:inline>
      </w:drawing>
    </w:r>
    <w:r>
      <w:rPr>
        <w:noProof/>
      </w:rPr>
      <w:t xml:space="preserve">                                                                                           </w:t>
    </w:r>
    <w:r>
      <w:rPr>
        <w:noProof/>
      </w:rPr>
      <w:drawing>
        <wp:inline distT="0" distB="0" distL="0" distR="0" wp14:anchorId="1DA38CDB" wp14:editId="265F7232">
          <wp:extent cx="22193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19325" cy="7715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7138" w14:textId="77777777" w:rsidR="009145AE" w:rsidRDefault="00914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61D"/>
    <w:multiLevelType w:val="hybridMultilevel"/>
    <w:tmpl w:val="E1A0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267E5"/>
    <w:multiLevelType w:val="hybridMultilevel"/>
    <w:tmpl w:val="B31CD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736CB"/>
    <w:multiLevelType w:val="hybridMultilevel"/>
    <w:tmpl w:val="1C0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37905"/>
    <w:multiLevelType w:val="hybridMultilevel"/>
    <w:tmpl w:val="070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90563"/>
    <w:multiLevelType w:val="hybridMultilevel"/>
    <w:tmpl w:val="BAA00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01842"/>
    <w:multiLevelType w:val="hybridMultilevel"/>
    <w:tmpl w:val="8830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771F6"/>
    <w:multiLevelType w:val="hybridMultilevel"/>
    <w:tmpl w:val="9B8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F1EFD"/>
    <w:multiLevelType w:val="hybridMultilevel"/>
    <w:tmpl w:val="1DCE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27D83"/>
    <w:multiLevelType w:val="hybridMultilevel"/>
    <w:tmpl w:val="1158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7962">
    <w:abstractNumId w:val="6"/>
  </w:num>
  <w:num w:numId="2" w16cid:durableId="1376807608">
    <w:abstractNumId w:val="5"/>
  </w:num>
  <w:num w:numId="3" w16cid:durableId="1765030060">
    <w:abstractNumId w:val="8"/>
  </w:num>
  <w:num w:numId="4" w16cid:durableId="27340437">
    <w:abstractNumId w:val="2"/>
  </w:num>
  <w:num w:numId="5" w16cid:durableId="611203843">
    <w:abstractNumId w:val="1"/>
  </w:num>
  <w:num w:numId="6" w16cid:durableId="705447975">
    <w:abstractNumId w:val="7"/>
  </w:num>
  <w:num w:numId="7" w16cid:durableId="919601907">
    <w:abstractNumId w:val="3"/>
  </w:num>
  <w:num w:numId="8" w16cid:durableId="1381905874">
    <w:abstractNumId w:val="0"/>
  </w:num>
  <w:num w:numId="9" w16cid:durableId="1146897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40"/>
    <w:rsid w:val="0003629F"/>
    <w:rsid w:val="00041B40"/>
    <w:rsid w:val="000A024A"/>
    <w:rsid w:val="00207186"/>
    <w:rsid w:val="00257C00"/>
    <w:rsid w:val="00312CC7"/>
    <w:rsid w:val="004658B0"/>
    <w:rsid w:val="004672A2"/>
    <w:rsid w:val="00673A3C"/>
    <w:rsid w:val="006B4044"/>
    <w:rsid w:val="006C541C"/>
    <w:rsid w:val="00762EF3"/>
    <w:rsid w:val="0078488E"/>
    <w:rsid w:val="00895110"/>
    <w:rsid w:val="008E1805"/>
    <w:rsid w:val="009145AE"/>
    <w:rsid w:val="009D087C"/>
    <w:rsid w:val="00B837B0"/>
    <w:rsid w:val="00BD54A0"/>
    <w:rsid w:val="00D0479A"/>
    <w:rsid w:val="00E200F3"/>
    <w:rsid w:val="00E27226"/>
    <w:rsid w:val="00EF0BD7"/>
    <w:rsid w:val="00F5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F1AE8"/>
  <w15:docId w15:val="{AF6A5765-F3DA-46B2-A8FF-4DF31610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40"/>
  </w:style>
  <w:style w:type="paragraph" w:styleId="Footer">
    <w:name w:val="footer"/>
    <w:basedOn w:val="Normal"/>
    <w:link w:val="FooterChar"/>
    <w:uiPriority w:val="99"/>
    <w:unhideWhenUsed/>
    <w:rsid w:val="0004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40"/>
  </w:style>
  <w:style w:type="paragraph" w:styleId="BalloonText">
    <w:name w:val="Balloon Text"/>
    <w:basedOn w:val="Normal"/>
    <w:link w:val="BalloonTextChar"/>
    <w:uiPriority w:val="99"/>
    <w:semiHidden/>
    <w:unhideWhenUsed/>
    <w:rsid w:val="0004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40"/>
    <w:rPr>
      <w:rFonts w:ascii="Tahoma" w:hAnsi="Tahoma" w:cs="Tahoma"/>
      <w:sz w:val="16"/>
      <w:szCs w:val="16"/>
    </w:rPr>
  </w:style>
  <w:style w:type="character" w:styleId="Hyperlink">
    <w:name w:val="Hyperlink"/>
    <w:basedOn w:val="DefaultParagraphFont"/>
    <w:uiPriority w:val="99"/>
    <w:unhideWhenUsed/>
    <w:rsid w:val="00312CC7"/>
    <w:rPr>
      <w:color w:val="0000FF" w:themeColor="hyperlink"/>
      <w:u w:val="single"/>
    </w:rPr>
  </w:style>
  <w:style w:type="paragraph" w:customStyle="1" w:styleId="Default">
    <w:name w:val="Default"/>
    <w:rsid w:val="006C54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C541C"/>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EF0BD7"/>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467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72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2A2"/>
    <w:rPr>
      <w:sz w:val="20"/>
      <w:szCs w:val="20"/>
    </w:rPr>
  </w:style>
  <w:style w:type="character" w:styleId="FootnoteReference">
    <w:name w:val="footnote reference"/>
    <w:basedOn w:val="DefaultParagraphFont"/>
    <w:uiPriority w:val="99"/>
    <w:semiHidden/>
    <w:unhideWhenUsed/>
    <w:rsid w:val="00467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files/document/appendix-pp-guidance-surveyor-long-term-care-faciliti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Richert</dc:creator>
  <cp:lastModifiedBy>Teckla Johnson</cp:lastModifiedBy>
  <cp:revision>3</cp:revision>
  <dcterms:created xsi:type="dcterms:W3CDTF">2022-08-11T20:23:00Z</dcterms:created>
  <dcterms:modified xsi:type="dcterms:W3CDTF">2022-08-11T20:25:00Z</dcterms:modified>
</cp:coreProperties>
</file>