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5C076667" w:rsidR="00E5369B" w:rsidRPr="00C82867" w:rsidRDefault="00E5369B">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25E4CC9D" w14:textId="219BE539" w:rsidR="00A36A75" w:rsidRDefault="00CB0009">
                      <w:pPr>
                        <w:rPr>
                          <w:rFonts w:ascii="Calibri" w:hAnsi="Calibri"/>
                          <w:b/>
                          <w:color w:val="FFFFFF" w:themeColor="background1"/>
                          <w:sz w:val="72"/>
                        </w:rPr>
                      </w:pPr>
                      <w:r>
                        <w:rPr>
                          <w:rFonts w:ascii="Calibri" w:hAnsi="Calibri"/>
                          <w:b/>
                          <w:color w:val="FFFFFF" w:themeColor="background1"/>
                          <w:sz w:val="72"/>
                        </w:rPr>
                        <w:t xml:space="preserve">Drug Regimen Review </w:t>
                      </w:r>
                    </w:p>
                    <w:p w14:paraId="74B58249" w14:textId="5C076667" w:rsidR="00E5369B" w:rsidRPr="00C82867" w:rsidRDefault="00E5369B">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14:paraId="313F16F6" w14:textId="2AE37427" w:rsidR="008F7D83" w:rsidRPr="00C2213E" w:rsidRDefault="00484844" w:rsidP="001303DF">
      <w:pPr>
        <w:pStyle w:val="NoSpacing"/>
        <w:jc w:val="center"/>
        <w:rPr>
          <w:rFonts w:cstheme="minorHAnsi"/>
          <w:bCs/>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2D443729" w14:textId="77777777" w:rsidR="00576D88" w:rsidRPr="00611F42" w:rsidRDefault="00576D88" w:rsidP="00576D88">
      <w:pPr>
        <w:pStyle w:val="NoSpacing"/>
        <w:jc w:val="center"/>
        <w:rPr>
          <w:rFonts w:ascii="Calibri" w:hAnsi="Calibri" w:cs="Calibri"/>
          <w:b/>
          <w:sz w:val="28"/>
          <w:szCs w:val="28"/>
        </w:rPr>
      </w:pPr>
      <w:r>
        <w:rPr>
          <w:rFonts w:ascii="Calibri" w:hAnsi="Calibri" w:cs="Calibri"/>
          <w:b/>
          <w:sz w:val="28"/>
          <w:szCs w:val="28"/>
        </w:rPr>
        <w:lastRenderedPageBreak/>
        <w:t>Drug Regimen Review Leader’s Guide</w:t>
      </w:r>
    </w:p>
    <w:p w14:paraId="2D04E894" w14:textId="77777777" w:rsidR="00576D88" w:rsidRPr="00611F42" w:rsidRDefault="00576D88" w:rsidP="00576D88">
      <w:pPr>
        <w:pStyle w:val="NoSpacing"/>
        <w:rPr>
          <w:rFonts w:ascii="Calibri" w:hAnsi="Calibri" w:cs="Calibri"/>
          <w:b/>
        </w:rPr>
      </w:pPr>
    </w:p>
    <w:p w14:paraId="305B3096" w14:textId="77777777" w:rsidR="00576D88" w:rsidRPr="00B346D6" w:rsidRDefault="00576D88" w:rsidP="00576D88">
      <w:pPr>
        <w:pStyle w:val="NoSpacing"/>
        <w:rPr>
          <w:rFonts w:ascii="Calibri" w:hAnsi="Calibri" w:cs="Calibri"/>
          <w:b/>
          <w:sz w:val="24"/>
          <w:szCs w:val="24"/>
        </w:rPr>
      </w:pPr>
      <w:r w:rsidRPr="00B346D6">
        <w:rPr>
          <w:rFonts w:ascii="Calibri" w:hAnsi="Calibri" w:cs="Calibri"/>
          <w:b/>
          <w:sz w:val="24"/>
          <w:szCs w:val="24"/>
        </w:rPr>
        <w:t>Leader’s Guide</w:t>
      </w:r>
    </w:p>
    <w:p w14:paraId="3563B486" w14:textId="77777777" w:rsidR="00576D88" w:rsidRPr="00B346D6" w:rsidRDefault="00576D88" w:rsidP="00576D88">
      <w:pPr>
        <w:pStyle w:val="NoSpacing"/>
        <w:rPr>
          <w:rFonts w:ascii="Calibri" w:hAnsi="Calibri" w:cs="Calibri"/>
          <w:bCs/>
          <w:sz w:val="24"/>
          <w:szCs w:val="24"/>
        </w:rPr>
      </w:pPr>
      <w:r w:rsidRPr="00B346D6">
        <w:rPr>
          <w:rFonts w:ascii="Calibri" w:hAnsi="Calibri" w:cs="Calibri"/>
          <w:bCs/>
          <w:sz w:val="24"/>
          <w:szCs w:val="24"/>
        </w:rPr>
        <w:t xml:space="preserve">The facility is required to ensure that each resident receives a monthly drug regimen review </w:t>
      </w:r>
      <w:proofErr w:type="gramStart"/>
      <w:r w:rsidRPr="00B346D6">
        <w:rPr>
          <w:rFonts w:ascii="Calibri" w:hAnsi="Calibri" w:cs="Calibri"/>
          <w:bCs/>
          <w:sz w:val="24"/>
          <w:szCs w:val="24"/>
        </w:rPr>
        <w:t>in order to</w:t>
      </w:r>
      <w:proofErr w:type="gramEnd"/>
      <w:r w:rsidRPr="00B346D6">
        <w:rPr>
          <w:rFonts w:ascii="Calibri" w:hAnsi="Calibri" w:cs="Calibri"/>
          <w:bCs/>
          <w:sz w:val="24"/>
          <w:szCs w:val="24"/>
        </w:rPr>
        <w:t xml:space="preserve"> take action necessary in the event that the pharmacist identifies an irregularity for resident protection and to keep each resident at their highest level of well-being and functioning.  CMS does indicate that “M</w:t>
      </w:r>
      <w:r w:rsidRPr="00B346D6">
        <w:rPr>
          <w:rFonts w:ascii="Calibri" w:hAnsi="Calibri" w:cs="Calibri"/>
          <w:sz w:val="24"/>
          <w:szCs w:val="24"/>
        </w:rPr>
        <w:t>any nursing home residents have been identified as being at high risk for adverse consequences related to medications. Some adverse consequences may mimic symptoms of chronic conditions, the aging process, or a newly emerging condition.”</w:t>
      </w:r>
      <w:r w:rsidRPr="00B346D6">
        <w:rPr>
          <w:rFonts w:ascii="Calibri" w:hAnsi="Calibri" w:cs="Calibri"/>
          <w:sz w:val="24"/>
          <w:szCs w:val="24"/>
          <w:vertAlign w:val="superscript"/>
        </w:rPr>
        <w:t>1</w:t>
      </w:r>
      <w:r w:rsidRPr="00B346D6">
        <w:rPr>
          <w:rFonts w:ascii="Calibri" w:hAnsi="Calibri" w:cs="Calibri"/>
          <w:sz w:val="24"/>
          <w:szCs w:val="24"/>
        </w:rPr>
        <w:t xml:space="preserve"> Coordination with the pharmacy consultant on working with the facility policies and procedures will be important for quality and compliance.</w:t>
      </w:r>
    </w:p>
    <w:p w14:paraId="4D113DD7" w14:textId="77777777" w:rsidR="00576D88" w:rsidRPr="00B346D6" w:rsidRDefault="00576D88" w:rsidP="00576D88">
      <w:pPr>
        <w:pStyle w:val="NoSpacing"/>
        <w:rPr>
          <w:rFonts w:ascii="Calibri" w:hAnsi="Calibri" w:cs="Calibri"/>
          <w:sz w:val="24"/>
          <w:szCs w:val="24"/>
        </w:rPr>
      </w:pPr>
    </w:p>
    <w:p w14:paraId="297E2DAF" w14:textId="77777777" w:rsidR="00576D88" w:rsidRPr="00B346D6" w:rsidRDefault="00576D88" w:rsidP="00576D88">
      <w:pPr>
        <w:pStyle w:val="NoSpacing"/>
        <w:rPr>
          <w:rFonts w:ascii="Calibri" w:hAnsi="Calibri" w:cs="Calibri"/>
          <w:b/>
          <w:bCs/>
          <w:sz w:val="24"/>
          <w:szCs w:val="24"/>
        </w:rPr>
      </w:pPr>
      <w:r w:rsidRPr="00B346D6">
        <w:rPr>
          <w:rFonts w:ascii="Calibri" w:hAnsi="Calibri" w:cs="Calibri"/>
          <w:b/>
          <w:bCs/>
          <w:sz w:val="24"/>
          <w:szCs w:val="24"/>
        </w:rPr>
        <w:t>Key Definition</w:t>
      </w:r>
    </w:p>
    <w:p w14:paraId="68AB5E79" w14:textId="1D37753C" w:rsidR="00576D88" w:rsidRPr="00B346D6" w:rsidRDefault="00576D88" w:rsidP="00576D88">
      <w:pPr>
        <w:pStyle w:val="NoSpacing"/>
        <w:rPr>
          <w:rFonts w:ascii="Calibri" w:hAnsi="Calibri" w:cs="Calibri"/>
          <w:b/>
          <w:bCs/>
          <w:sz w:val="24"/>
          <w:szCs w:val="24"/>
          <w:vertAlign w:val="superscript"/>
        </w:rPr>
      </w:pPr>
      <w:r w:rsidRPr="00B346D6">
        <w:rPr>
          <w:rFonts w:ascii="Calibri" w:hAnsi="Calibri" w:cs="Calibri"/>
          <w:b/>
          <w:bCs/>
          <w:sz w:val="24"/>
          <w:szCs w:val="24"/>
        </w:rPr>
        <w:t>“Medication Regimen Review (</w:t>
      </w:r>
      <w:r w:rsidR="00214BF0">
        <w:rPr>
          <w:rFonts w:ascii="Calibri" w:hAnsi="Calibri" w:cs="Calibri"/>
          <w:b/>
          <w:bCs/>
          <w:sz w:val="24"/>
          <w:szCs w:val="24"/>
        </w:rPr>
        <w:t>MRR</w:t>
      </w:r>
      <w:r w:rsidRPr="00B346D6">
        <w:rPr>
          <w:rFonts w:ascii="Calibri" w:hAnsi="Calibri" w:cs="Calibri"/>
          <w:b/>
          <w:bCs/>
          <w:sz w:val="24"/>
          <w:szCs w:val="24"/>
        </w:rPr>
        <w:t>)” o</w:t>
      </w:r>
      <w:r w:rsidRPr="00B346D6">
        <w:rPr>
          <w:rFonts w:ascii="Calibri" w:hAnsi="Calibri" w:cs="Calibri"/>
          <w:sz w:val="24"/>
          <w:szCs w:val="24"/>
        </w:rPr>
        <w:t xml:space="preserve">r Drug Regimen Review is a thorough evaluation of the medication regimen of a resident, with the goal of promoting positive outcomes and minimizing adverse consequences and potential risks associated with medication. The MRR includes review of the medical record </w:t>
      </w:r>
      <w:proofErr w:type="gramStart"/>
      <w:r w:rsidRPr="00B346D6">
        <w:rPr>
          <w:rFonts w:ascii="Calibri" w:hAnsi="Calibri" w:cs="Calibri"/>
          <w:sz w:val="24"/>
          <w:szCs w:val="24"/>
        </w:rPr>
        <w:t>in order to</w:t>
      </w:r>
      <w:proofErr w:type="gramEnd"/>
      <w:r w:rsidRPr="00B346D6">
        <w:rPr>
          <w:rFonts w:ascii="Calibri" w:hAnsi="Calibri" w:cs="Calibri"/>
          <w:sz w:val="24"/>
          <w:szCs w:val="24"/>
        </w:rPr>
        <w:t xml:space="preserve"> prevent, identify, report, and resolve medication-related problems, medication errors, or other irregularities. The MRR also involves collaborating with other members of the IDT, including the resident, their family, and/or resident representative.”</w:t>
      </w:r>
      <w:r w:rsidRPr="00B346D6">
        <w:rPr>
          <w:rFonts w:ascii="Calibri" w:hAnsi="Calibri" w:cs="Calibri"/>
          <w:sz w:val="24"/>
          <w:szCs w:val="24"/>
          <w:vertAlign w:val="superscript"/>
        </w:rPr>
        <w:t>1</w:t>
      </w:r>
    </w:p>
    <w:p w14:paraId="1154483D" w14:textId="77777777" w:rsidR="00576D88" w:rsidRPr="00B346D6" w:rsidRDefault="00576D88" w:rsidP="00576D88">
      <w:pPr>
        <w:pStyle w:val="NoSpacing"/>
        <w:rPr>
          <w:rFonts w:ascii="Calibri" w:hAnsi="Calibri" w:cs="Calibri"/>
          <w:b/>
          <w:bCs/>
          <w:sz w:val="24"/>
          <w:szCs w:val="24"/>
        </w:rPr>
      </w:pPr>
    </w:p>
    <w:p w14:paraId="6963FE6F" w14:textId="582C7583" w:rsidR="00576D88" w:rsidRPr="00B346D6" w:rsidRDefault="00576D88" w:rsidP="00576D88">
      <w:pPr>
        <w:pStyle w:val="NoSpacing"/>
        <w:rPr>
          <w:rFonts w:ascii="Calibri" w:hAnsi="Calibri" w:cs="Calibri"/>
          <w:b/>
          <w:bCs/>
          <w:sz w:val="24"/>
          <w:szCs w:val="24"/>
        </w:rPr>
      </w:pPr>
      <w:r w:rsidRPr="00B346D6">
        <w:rPr>
          <w:rFonts w:ascii="Calibri" w:hAnsi="Calibri" w:cs="Calibri"/>
          <w:b/>
          <w:bCs/>
          <w:sz w:val="24"/>
          <w:szCs w:val="24"/>
        </w:rPr>
        <w:t xml:space="preserve">Some areas to be considered for Drug Regimen Review (or </w:t>
      </w:r>
      <w:r w:rsidR="00214BF0">
        <w:rPr>
          <w:rFonts w:ascii="Calibri" w:hAnsi="Calibri" w:cs="Calibri"/>
          <w:b/>
          <w:bCs/>
          <w:sz w:val="24"/>
          <w:szCs w:val="24"/>
        </w:rPr>
        <w:t>MRR</w:t>
      </w:r>
      <w:r w:rsidRPr="00B346D6">
        <w:rPr>
          <w:rFonts w:ascii="Calibri" w:hAnsi="Calibri" w:cs="Calibri"/>
          <w:b/>
          <w:bCs/>
          <w:sz w:val="24"/>
          <w:szCs w:val="24"/>
        </w:rPr>
        <w:t>s) may include:</w:t>
      </w:r>
    </w:p>
    <w:p w14:paraId="3C24E3F5" w14:textId="77777777" w:rsidR="00576D88" w:rsidRPr="00B346D6" w:rsidRDefault="00576D88" w:rsidP="00576D88">
      <w:pPr>
        <w:pStyle w:val="NoSpacing"/>
        <w:numPr>
          <w:ilvl w:val="0"/>
          <w:numId w:val="6"/>
        </w:numPr>
        <w:rPr>
          <w:rFonts w:ascii="Calibri" w:hAnsi="Calibri" w:cs="Calibri"/>
          <w:sz w:val="24"/>
          <w:szCs w:val="24"/>
        </w:rPr>
      </w:pPr>
      <w:r w:rsidRPr="00B346D6">
        <w:rPr>
          <w:rFonts w:ascii="Calibri" w:hAnsi="Calibri" w:cs="Calibri"/>
          <w:sz w:val="24"/>
          <w:szCs w:val="24"/>
        </w:rPr>
        <w:t>Staff Resources:</w:t>
      </w:r>
    </w:p>
    <w:p w14:paraId="6E49FC9A" w14:textId="77777777" w:rsidR="00576D88" w:rsidRPr="00B346D6" w:rsidRDefault="00576D88" w:rsidP="00576D88">
      <w:pPr>
        <w:pStyle w:val="NoSpacing"/>
        <w:numPr>
          <w:ilvl w:val="0"/>
          <w:numId w:val="7"/>
        </w:numPr>
        <w:rPr>
          <w:rFonts w:ascii="Calibri" w:hAnsi="Calibri" w:cs="Calibri"/>
          <w:sz w:val="24"/>
          <w:szCs w:val="24"/>
        </w:rPr>
      </w:pPr>
      <w:r w:rsidRPr="00B346D6">
        <w:rPr>
          <w:rFonts w:ascii="Calibri" w:hAnsi="Calibri" w:cs="Calibri"/>
          <w:sz w:val="24"/>
          <w:szCs w:val="24"/>
        </w:rPr>
        <w:t>Nursing staff availability to discuss any questions with the pharmacist during the drug regimen review</w:t>
      </w:r>
    </w:p>
    <w:p w14:paraId="276C8E8B" w14:textId="77777777" w:rsidR="00576D88" w:rsidRPr="00B346D6" w:rsidRDefault="00576D88" w:rsidP="00576D88">
      <w:pPr>
        <w:pStyle w:val="NoSpacing"/>
        <w:numPr>
          <w:ilvl w:val="0"/>
          <w:numId w:val="7"/>
        </w:numPr>
        <w:rPr>
          <w:rFonts w:ascii="Calibri" w:hAnsi="Calibri" w:cs="Calibri"/>
          <w:sz w:val="24"/>
          <w:szCs w:val="24"/>
        </w:rPr>
      </w:pPr>
      <w:r w:rsidRPr="00B346D6">
        <w:rPr>
          <w:rFonts w:ascii="Calibri" w:hAnsi="Calibri" w:cs="Calibri"/>
          <w:sz w:val="24"/>
          <w:szCs w:val="24"/>
        </w:rPr>
        <w:t>DON and/or designee availability to promptly respond to pharmacist recommendations</w:t>
      </w:r>
    </w:p>
    <w:p w14:paraId="0AA521DF" w14:textId="77777777" w:rsidR="00576D88" w:rsidRPr="00B346D6" w:rsidRDefault="00576D88" w:rsidP="00576D88">
      <w:pPr>
        <w:pStyle w:val="NoSpacing"/>
        <w:numPr>
          <w:ilvl w:val="1"/>
          <w:numId w:val="7"/>
        </w:numPr>
        <w:rPr>
          <w:rFonts w:ascii="Calibri" w:hAnsi="Calibri" w:cs="Calibri"/>
          <w:sz w:val="24"/>
          <w:szCs w:val="24"/>
        </w:rPr>
      </w:pPr>
      <w:r w:rsidRPr="00B346D6">
        <w:rPr>
          <w:rFonts w:ascii="Calibri" w:hAnsi="Calibri" w:cs="Calibri"/>
          <w:sz w:val="24"/>
          <w:szCs w:val="24"/>
        </w:rPr>
        <w:t>Communication with attending physicians</w:t>
      </w:r>
    </w:p>
    <w:p w14:paraId="7C112467" w14:textId="77777777" w:rsidR="00576D88" w:rsidRPr="00B346D6" w:rsidRDefault="00576D88" w:rsidP="00576D88">
      <w:pPr>
        <w:pStyle w:val="NoSpacing"/>
        <w:numPr>
          <w:ilvl w:val="0"/>
          <w:numId w:val="7"/>
        </w:numPr>
        <w:rPr>
          <w:rFonts w:ascii="Calibri" w:hAnsi="Calibri" w:cs="Calibri"/>
          <w:sz w:val="24"/>
          <w:szCs w:val="24"/>
        </w:rPr>
      </w:pPr>
      <w:r w:rsidRPr="00B346D6">
        <w:rPr>
          <w:rFonts w:ascii="Calibri" w:hAnsi="Calibri" w:cs="Calibri"/>
          <w:sz w:val="24"/>
          <w:szCs w:val="24"/>
        </w:rPr>
        <w:t>Medical Director availability to review and resolve any concerns</w:t>
      </w:r>
    </w:p>
    <w:p w14:paraId="38AE6CB1" w14:textId="77777777" w:rsidR="00576D88" w:rsidRPr="00B346D6" w:rsidRDefault="00576D88" w:rsidP="00576D88">
      <w:pPr>
        <w:pStyle w:val="NoSpacing"/>
        <w:numPr>
          <w:ilvl w:val="0"/>
          <w:numId w:val="6"/>
        </w:numPr>
        <w:rPr>
          <w:rFonts w:ascii="Calibri" w:hAnsi="Calibri" w:cs="Calibri"/>
          <w:sz w:val="24"/>
          <w:szCs w:val="24"/>
        </w:rPr>
      </w:pPr>
      <w:r w:rsidRPr="00B346D6">
        <w:rPr>
          <w:rFonts w:ascii="Calibri" w:hAnsi="Calibri" w:cs="Calibri"/>
          <w:sz w:val="24"/>
          <w:szCs w:val="24"/>
        </w:rPr>
        <w:t>Education:</w:t>
      </w:r>
    </w:p>
    <w:p w14:paraId="168CA416" w14:textId="77777777" w:rsidR="00576D88" w:rsidRPr="00B346D6" w:rsidRDefault="00576D88" w:rsidP="00576D88">
      <w:pPr>
        <w:pStyle w:val="NoSpacing"/>
        <w:numPr>
          <w:ilvl w:val="0"/>
          <w:numId w:val="8"/>
        </w:numPr>
        <w:rPr>
          <w:rFonts w:ascii="Calibri" w:hAnsi="Calibri" w:cs="Calibri"/>
          <w:sz w:val="24"/>
          <w:szCs w:val="24"/>
        </w:rPr>
      </w:pPr>
      <w:r w:rsidRPr="00B346D6">
        <w:rPr>
          <w:rFonts w:ascii="Calibri" w:hAnsi="Calibri" w:cs="Calibri"/>
          <w:sz w:val="24"/>
          <w:szCs w:val="24"/>
        </w:rPr>
        <w:t>Pharmacist(s):</w:t>
      </w:r>
    </w:p>
    <w:p w14:paraId="2C7F950B" w14:textId="77777777" w:rsidR="00576D88" w:rsidRPr="00B346D6" w:rsidRDefault="00576D88" w:rsidP="00576D88">
      <w:pPr>
        <w:pStyle w:val="NoSpacing"/>
        <w:numPr>
          <w:ilvl w:val="1"/>
          <w:numId w:val="8"/>
        </w:numPr>
        <w:rPr>
          <w:rFonts w:ascii="Calibri" w:hAnsi="Calibri" w:cs="Calibri"/>
          <w:sz w:val="24"/>
          <w:szCs w:val="24"/>
        </w:rPr>
      </w:pPr>
      <w:r w:rsidRPr="00B346D6">
        <w:rPr>
          <w:rFonts w:ascii="Calibri" w:hAnsi="Calibri" w:cs="Calibri"/>
          <w:sz w:val="24"/>
          <w:szCs w:val="24"/>
        </w:rPr>
        <w:t>Appropriate time frames for the drug regimen reviews</w:t>
      </w:r>
    </w:p>
    <w:p w14:paraId="3585918D" w14:textId="22B97F83" w:rsidR="00576D88" w:rsidRPr="00B346D6" w:rsidRDefault="00576D88" w:rsidP="00576D88">
      <w:pPr>
        <w:pStyle w:val="NoSpacing"/>
        <w:numPr>
          <w:ilvl w:val="1"/>
          <w:numId w:val="8"/>
        </w:numPr>
        <w:rPr>
          <w:rFonts w:ascii="Calibri" w:hAnsi="Calibri" w:cs="Calibri"/>
          <w:sz w:val="24"/>
          <w:szCs w:val="24"/>
        </w:rPr>
      </w:pPr>
      <w:r w:rsidRPr="00B346D6">
        <w:rPr>
          <w:rFonts w:ascii="Calibri" w:hAnsi="Calibri" w:cs="Calibri"/>
          <w:sz w:val="24"/>
          <w:szCs w:val="24"/>
        </w:rPr>
        <w:t xml:space="preserve">Monthly </w:t>
      </w:r>
      <w:r w:rsidR="00214BF0">
        <w:rPr>
          <w:rFonts w:ascii="Calibri" w:hAnsi="Calibri" w:cs="Calibri"/>
          <w:sz w:val="24"/>
          <w:szCs w:val="24"/>
        </w:rPr>
        <w:t>MRR</w:t>
      </w:r>
    </w:p>
    <w:p w14:paraId="602D9DCB" w14:textId="77777777" w:rsidR="00576D88" w:rsidRPr="00B346D6" w:rsidRDefault="00576D88" w:rsidP="00576D88">
      <w:pPr>
        <w:pStyle w:val="NoSpacing"/>
        <w:numPr>
          <w:ilvl w:val="1"/>
          <w:numId w:val="8"/>
        </w:numPr>
        <w:rPr>
          <w:rFonts w:ascii="Calibri" w:hAnsi="Calibri" w:cs="Calibri"/>
          <w:sz w:val="24"/>
          <w:szCs w:val="24"/>
        </w:rPr>
      </w:pPr>
      <w:r w:rsidRPr="00B346D6">
        <w:rPr>
          <w:rFonts w:ascii="Calibri" w:hAnsi="Calibri" w:cs="Calibri"/>
          <w:sz w:val="24"/>
          <w:szCs w:val="24"/>
        </w:rPr>
        <w:t>MRRs for residents who are anticipated to be in the facility for less than 30 days</w:t>
      </w:r>
    </w:p>
    <w:p w14:paraId="510B7134" w14:textId="77777777" w:rsidR="00576D88" w:rsidRPr="00B346D6" w:rsidRDefault="00576D88" w:rsidP="00576D88">
      <w:pPr>
        <w:pStyle w:val="NoSpacing"/>
        <w:numPr>
          <w:ilvl w:val="1"/>
          <w:numId w:val="8"/>
        </w:numPr>
        <w:rPr>
          <w:rFonts w:ascii="Calibri" w:hAnsi="Calibri" w:cs="Calibri"/>
          <w:sz w:val="24"/>
          <w:szCs w:val="24"/>
        </w:rPr>
      </w:pPr>
      <w:r w:rsidRPr="00B346D6">
        <w:rPr>
          <w:rFonts w:ascii="Calibri" w:hAnsi="Calibri" w:cs="Calibri"/>
          <w:sz w:val="24"/>
          <w:szCs w:val="24"/>
        </w:rPr>
        <w:t>MRRs for residents with significant change in condition</w:t>
      </w:r>
    </w:p>
    <w:p w14:paraId="3F02A66A" w14:textId="77777777" w:rsidR="00576D88" w:rsidRPr="00B346D6" w:rsidRDefault="00576D88" w:rsidP="00576D88">
      <w:pPr>
        <w:pStyle w:val="NoSpacing"/>
        <w:numPr>
          <w:ilvl w:val="0"/>
          <w:numId w:val="8"/>
        </w:numPr>
        <w:rPr>
          <w:rFonts w:ascii="Calibri" w:hAnsi="Calibri" w:cs="Calibri"/>
          <w:sz w:val="24"/>
          <w:szCs w:val="24"/>
        </w:rPr>
      </w:pPr>
      <w:r w:rsidRPr="00B346D6">
        <w:rPr>
          <w:rFonts w:ascii="Calibri" w:hAnsi="Calibri" w:cs="Calibri"/>
          <w:sz w:val="24"/>
          <w:szCs w:val="24"/>
        </w:rPr>
        <w:t>Policies and Procedures for drug regimen reviews for nurses and pharmacists</w:t>
      </w:r>
    </w:p>
    <w:p w14:paraId="63B71822" w14:textId="77777777" w:rsidR="00576D88" w:rsidRPr="00B346D6" w:rsidRDefault="00576D88" w:rsidP="00576D88">
      <w:pPr>
        <w:pStyle w:val="NoSpacing"/>
        <w:numPr>
          <w:ilvl w:val="0"/>
          <w:numId w:val="8"/>
        </w:numPr>
        <w:rPr>
          <w:rFonts w:ascii="Calibri" w:hAnsi="Calibri" w:cs="Calibri"/>
          <w:sz w:val="24"/>
          <w:szCs w:val="24"/>
        </w:rPr>
      </w:pPr>
      <w:r w:rsidRPr="00B346D6">
        <w:rPr>
          <w:rFonts w:ascii="Calibri" w:hAnsi="Calibri" w:cs="Calibri"/>
          <w:sz w:val="24"/>
          <w:szCs w:val="24"/>
        </w:rPr>
        <w:t xml:space="preserve">Education for all staff: </w:t>
      </w:r>
    </w:p>
    <w:p w14:paraId="0225B236" w14:textId="77777777" w:rsidR="00576D88" w:rsidRPr="00B346D6" w:rsidRDefault="00576D88" w:rsidP="00576D88">
      <w:pPr>
        <w:pStyle w:val="NoSpacing"/>
        <w:numPr>
          <w:ilvl w:val="1"/>
          <w:numId w:val="8"/>
        </w:numPr>
        <w:rPr>
          <w:rFonts w:ascii="Calibri" w:hAnsi="Calibri" w:cs="Calibri"/>
          <w:sz w:val="24"/>
          <w:szCs w:val="24"/>
        </w:rPr>
      </w:pPr>
      <w:r w:rsidRPr="00B346D6">
        <w:rPr>
          <w:rFonts w:ascii="Calibri" w:hAnsi="Calibri" w:cs="Calibri"/>
          <w:sz w:val="24"/>
          <w:szCs w:val="24"/>
        </w:rPr>
        <w:t>Documentation of effectiveness of medication (i.e., behavior flow sheets, etc.)</w:t>
      </w:r>
    </w:p>
    <w:p w14:paraId="7B327DA2" w14:textId="77777777" w:rsidR="00576D88" w:rsidRPr="00B346D6" w:rsidRDefault="00576D88" w:rsidP="00576D88">
      <w:pPr>
        <w:pStyle w:val="NoSpacing"/>
        <w:numPr>
          <w:ilvl w:val="0"/>
          <w:numId w:val="6"/>
        </w:numPr>
        <w:rPr>
          <w:rFonts w:ascii="Calibri" w:hAnsi="Calibri" w:cs="Calibri"/>
          <w:sz w:val="24"/>
          <w:szCs w:val="24"/>
        </w:rPr>
      </w:pPr>
      <w:r w:rsidRPr="00B346D6">
        <w:rPr>
          <w:rFonts w:ascii="Calibri" w:hAnsi="Calibri" w:cs="Calibri"/>
          <w:sz w:val="24"/>
          <w:szCs w:val="24"/>
        </w:rPr>
        <w:lastRenderedPageBreak/>
        <w:t>Monitoring and Evaluation</w:t>
      </w:r>
    </w:p>
    <w:p w14:paraId="5B0A9CA6" w14:textId="3B7D62B5" w:rsidR="00576D88" w:rsidRPr="00B346D6" w:rsidRDefault="00576D88" w:rsidP="00576D88">
      <w:pPr>
        <w:pStyle w:val="NoSpacing"/>
        <w:numPr>
          <w:ilvl w:val="1"/>
          <w:numId w:val="6"/>
        </w:numPr>
        <w:rPr>
          <w:rFonts w:ascii="Calibri" w:hAnsi="Calibri" w:cs="Calibri"/>
          <w:sz w:val="24"/>
          <w:szCs w:val="24"/>
        </w:rPr>
      </w:pPr>
      <w:r w:rsidRPr="00B346D6">
        <w:rPr>
          <w:rFonts w:ascii="Calibri" w:hAnsi="Calibri" w:cs="Calibri"/>
          <w:sz w:val="24"/>
          <w:szCs w:val="24"/>
        </w:rPr>
        <w:t xml:space="preserve">Completion of </w:t>
      </w:r>
      <w:r w:rsidR="00214BF0">
        <w:rPr>
          <w:rFonts w:ascii="Calibri" w:hAnsi="Calibri" w:cs="Calibri"/>
          <w:sz w:val="24"/>
          <w:szCs w:val="24"/>
        </w:rPr>
        <w:t>MRR</w:t>
      </w:r>
      <w:r w:rsidRPr="00B346D6">
        <w:rPr>
          <w:rFonts w:ascii="Calibri" w:hAnsi="Calibri" w:cs="Calibri"/>
          <w:sz w:val="24"/>
          <w:szCs w:val="24"/>
        </w:rPr>
        <w:t>s</w:t>
      </w:r>
    </w:p>
    <w:p w14:paraId="41287355" w14:textId="77777777" w:rsidR="00576D88" w:rsidRPr="00B346D6" w:rsidRDefault="00576D88" w:rsidP="00576D88">
      <w:pPr>
        <w:pStyle w:val="NoSpacing"/>
        <w:numPr>
          <w:ilvl w:val="1"/>
          <w:numId w:val="6"/>
        </w:numPr>
        <w:rPr>
          <w:rFonts w:ascii="Calibri" w:hAnsi="Calibri" w:cs="Calibri"/>
          <w:sz w:val="24"/>
          <w:szCs w:val="24"/>
        </w:rPr>
      </w:pPr>
      <w:r w:rsidRPr="00B346D6">
        <w:rPr>
          <w:rFonts w:ascii="Calibri" w:hAnsi="Calibri" w:cs="Calibri"/>
          <w:sz w:val="24"/>
          <w:szCs w:val="24"/>
        </w:rPr>
        <w:t>Follow up for identified documentation or irregularities and/or recommendation</w:t>
      </w:r>
    </w:p>
    <w:p w14:paraId="47DD545A" w14:textId="77777777" w:rsidR="00576D88" w:rsidRPr="00B346D6" w:rsidRDefault="00576D88" w:rsidP="00576D88">
      <w:pPr>
        <w:pStyle w:val="NoSpacing"/>
        <w:numPr>
          <w:ilvl w:val="0"/>
          <w:numId w:val="6"/>
        </w:numPr>
        <w:rPr>
          <w:rFonts w:ascii="Calibri" w:hAnsi="Calibri" w:cs="Calibri"/>
          <w:sz w:val="24"/>
          <w:szCs w:val="24"/>
        </w:rPr>
      </w:pPr>
      <w:r w:rsidRPr="00B346D6">
        <w:rPr>
          <w:rFonts w:ascii="Calibri" w:hAnsi="Calibri" w:cs="Calibri"/>
          <w:sz w:val="24"/>
          <w:szCs w:val="24"/>
        </w:rPr>
        <w:t>Documentation</w:t>
      </w:r>
    </w:p>
    <w:p w14:paraId="10F9DDAF" w14:textId="4CEF39F1" w:rsidR="00576D88" w:rsidRPr="00B346D6" w:rsidRDefault="00576D88" w:rsidP="00576D88">
      <w:pPr>
        <w:pStyle w:val="NoSpacing"/>
        <w:numPr>
          <w:ilvl w:val="1"/>
          <w:numId w:val="6"/>
        </w:numPr>
        <w:spacing w:after="160" w:line="259" w:lineRule="auto"/>
        <w:rPr>
          <w:rFonts w:ascii="Calibri" w:hAnsi="Calibri" w:cs="Calibri"/>
          <w:b/>
          <w:bCs/>
          <w:sz w:val="24"/>
          <w:szCs w:val="24"/>
        </w:rPr>
      </w:pPr>
      <w:r w:rsidRPr="00B346D6">
        <w:rPr>
          <w:rFonts w:ascii="Calibri" w:hAnsi="Calibri" w:cs="Calibri"/>
          <w:sz w:val="24"/>
          <w:szCs w:val="24"/>
        </w:rPr>
        <w:t xml:space="preserve">Identification of location in the medical record of the </w:t>
      </w:r>
      <w:r w:rsidR="00214BF0">
        <w:rPr>
          <w:rFonts w:ascii="Calibri" w:hAnsi="Calibri" w:cs="Calibri"/>
          <w:sz w:val="24"/>
          <w:szCs w:val="24"/>
        </w:rPr>
        <w:t>MRR</w:t>
      </w:r>
    </w:p>
    <w:p w14:paraId="711CA6D8" w14:textId="77777777" w:rsidR="00576D88" w:rsidRPr="00B346D6" w:rsidRDefault="00576D88" w:rsidP="00576D88">
      <w:pPr>
        <w:pStyle w:val="NoSpacing"/>
        <w:spacing w:after="160" w:line="259" w:lineRule="auto"/>
        <w:rPr>
          <w:rFonts w:ascii="Calibri" w:hAnsi="Calibri" w:cs="Calibri"/>
          <w:b/>
          <w:bCs/>
          <w:sz w:val="24"/>
          <w:szCs w:val="24"/>
        </w:rPr>
      </w:pPr>
      <w:r w:rsidRPr="00B346D6">
        <w:rPr>
          <w:rFonts w:ascii="Calibri" w:hAnsi="Calibri" w:cs="Calibri"/>
          <w:b/>
          <w:bCs/>
          <w:sz w:val="24"/>
          <w:szCs w:val="24"/>
        </w:rPr>
        <w:t>Reference</w:t>
      </w:r>
    </w:p>
    <w:p w14:paraId="07402D32" w14:textId="77777777" w:rsidR="00576D88" w:rsidRPr="00B346D6" w:rsidRDefault="00576D88" w:rsidP="00576D88">
      <w:pPr>
        <w:spacing w:after="100" w:afterAutospacing="1"/>
        <w:contextualSpacing/>
        <w:rPr>
          <w:rFonts w:ascii="Calibri" w:hAnsi="Calibri" w:cs="Calibri"/>
        </w:rPr>
      </w:pPr>
      <w:r w:rsidRPr="00B346D6">
        <w:rPr>
          <w:rFonts w:ascii="Calibri" w:eastAsia="MS Mincho" w:hAnsi="Calibri" w:cs="Calibri"/>
          <w:vertAlign w:val="superscript"/>
        </w:rPr>
        <w:t>1</w:t>
      </w:r>
      <w:r w:rsidRPr="00B346D6">
        <w:rPr>
          <w:rFonts w:ascii="Calibri" w:eastAsia="MS Mincho" w:hAnsi="Calibri" w:cs="Calibri"/>
        </w:rPr>
        <w:t xml:space="preserve">Centers for Medicare &amp; Medicaid Services State Operations Manual, Appendix PP – Guidance to Surveyors for Long Term Care Facilities (Rev. 173, 11-22-17) Advance Copy, 2022:  </w:t>
      </w:r>
      <w:hyperlink r:id="rId8" w:history="1">
        <w:r w:rsidRPr="00B346D6">
          <w:rPr>
            <w:rStyle w:val="Hyperlink"/>
            <w:rFonts w:ascii="Calibri" w:hAnsi="Calibri" w:cs="Calibri"/>
          </w:rPr>
          <w:t>https://www.cms.gov/files/document/appendix-pp-guidance-surveyor-long-term-care-facilities.pdf</w:t>
        </w:r>
      </w:hyperlink>
      <w:r w:rsidRPr="00B346D6">
        <w:rPr>
          <w:rFonts w:ascii="Calibri" w:hAnsi="Calibri" w:cs="Calibri"/>
        </w:rPr>
        <w:t xml:space="preserve"> </w:t>
      </w:r>
    </w:p>
    <w:p w14:paraId="44129BB9" w14:textId="77777777" w:rsidR="00576D88" w:rsidRPr="00B346D6" w:rsidRDefault="00576D88" w:rsidP="00576D88">
      <w:pPr>
        <w:pStyle w:val="NoSpacing"/>
        <w:spacing w:line="259" w:lineRule="auto"/>
        <w:rPr>
          <w:rFonts w:ascii="Calibri" w:hAnsi="Calibri" w:cs="Calibri"/>
          <w:color w:val="000000"/>
          <w:sz w:val="24"/>
          <w:szCs w:val="24"/>
        </w:rPr>
      </w:pPr>
    </w:p>
    <w:p w14:paraId="18ECE9C4" w14:textId="77777777" w:rsidR="00576D88" w:rsidRPr="00DF6D16" w:rsidRDefault="00576D88" w:rsidP="00576D88"/>
    <w:p w14:paraId="6F79FE10" w14:textId="77777777" w:rsidR="004613FA" w:rsidRPr="00157E0B" w:rsidRDefault="004613FA" w:rsidP="00BC79D8">
      <w:pPr>
        <w:spacing w:after="160" w:line="259" w:lineRule="auto"/>
        <w:jc w:val="center"/>
        <w:rPr>
          <w:rFonts w:asciiTheme="minorHAnsi" w:hAnsiTheme="minorHAnsi" w:cstheme="minorHAnsi"/>
          <w:b/>
          <w:sz w:val="22"/>
          <w:szCs w:val="22"/>
        </w:rPr>
      </w:pPr>
    </w:p>
    <w:sectPr w:rsidR="004613FA" w:rsidRPr="00157E0B"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9E087" w14:textId="77777777" w:rsidR="00B24F91" w:rsidRDefault="00B24F91" w:rsidP="00FE158D">
      <w:r>
        <w:separator/>
      </w:r>
    </w:p>
  </w:endnote>
  <w:endnote w:type="continuationSeparator" w:id="0">
    <w:p w14:paraId="4E8344B7" w14:textId="77777777" w:rsidR="00B24F91" w:rsidRDefault="00B24F9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5724" w14:textId="77777777" w:rsidR="00B24F91" w:rsidRDefault="00B24F91" w:rsidP="00FE158D">
      <w:r>
        <w:separator/>
      </w:r>
    </w:p>
  </w:footnote>
  <w:footnote w:type="continuationSeparator" w:id="0">
    <w:p w14:paraId="254DC105" w14:textId="77777777" w:rsidR="00B24F91" w:rsidRDefault="00B24F9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86DBB"/>
    <w:multiLevelType w:val="hybridMultilevel"/>
    <w:tmpl w:val="583C54BC"/>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55F7B"/>
    <w:multiLevelType w:val="hybridMultilevel"/>
    <w:tmpl w:val="BD3C3350"/>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8322CD"/>
    <w:multiLevelType w:val="hybridMultilevel"/>
    <w:tmpl w:val="A28A103C"/>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93674598">
    <w:abstractNumId w:val="6"/>
  </w:num>
  <w:num w:numId="2" w16cid:durableId="441918779">
    <w:abstractNumId w:val="8"/>
  </w:num>
  <w:num w:numId="3" w16cid:durableId="1233783270">
    <w:abstractNumId w:val="5"/>
  </w:num>
  <w:num w:numId="4" w16cid:durableId="183373334">
    <w:abstractNumId w:val="3"/>
  </w:num>
  <w:num w:numId="5" w16cid:durableId="929702101">
    <w:abstractNumId w:val="2"/>
  </w:num>
  <w:num w:numId="6" w16cid:durableId="1778601105">
    <w:abstractNumId w:val="7"/>
  </w:num>
  <w:num w:numId="7" w16cid:durableId="311105987">
    <w:abstractNumId w:val="1"/>
  </w:num>
  <w:num w:numId="8" w16cid:durableId="197001477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A7B59"/>
    <w:rsid w:val="000B0803"/>
    <w:rsid w:val="000C33ED"/>
    <w:rsid w:val="000D380A"/>
    <w:rsid w:val="000D5B62"/>
    <w:rsid w:val="000E228A"/>
    <w:rsid w:val="000F574E"/>
    <w:rsid w:val="000F7E90"/>
    <w:rsid w:val="00102A96"/>
    <w:rsid w:val="00104CC4"/>
    <w:rsid w:val="001139B8"/>
    <w:rsid w:val="0012309D"/>
    <w:rsid w:val="001303DF"/>
    <w:rsid w:val="00144BE0"/>
    <w:rsid w:val="00157E0B"/>
    <w:rsid w:val="001665CF"/>
    <w:rsid w:val="00170AD2"/>
    <w:rsid w:val="00185739"/>
    <w:rsid w:val="0019504D"/>
    <w:rsid w:val="001A797D"/>
    <w:rsid w:val="001E0F0F"/>
    <w:rsid w:val="0021206A"/>
    <w:rsid w:val="00214BF0"/>
    <w:rsid w:val="0022312B"/>
    <w:rsid w:val="00223F22"/>
    <w:rsid w:val="002252BE"/>
    <w:rsid w:val="00234C60"/>
    <w:rsid w:val="002376A2"/>
    <w:rsid w:val="002C5F29"/>
    <w:rsid w:val="002D68EE"/>
    <w:rsid w:val="002E5D4A"/>
    <w:rsid w:val="002F2B8A"/>
    <w:rsid w:val="002F2C3C"/>
    <w:rsid w:val="003011C7"/>
    <w:rsid w:val="00301AA8"/>
    <w:rsid w:val="0031633A"/>
    <w:rsid w:val="00317996"/>
    <w:rsid w:val="0033490A"/>
    <w:rsid w:val="00372DF7"/>
    <w:rsid w:val="003734C7"/>
    <w:rsid w:val="00373CF0"/>
    <w:rsid w:val="003A3E8D"/>
    <w:rsid w:val="003B0939"/>
    <w:rsid w:val="003C3FCE"/>
    <w:rsid w:val="003F0C77"/>
    <w:rsid w:val="00402197"/>
    <w:rsid w:val="00407CF7"/>
    <w:rsid w:val="00416F96"/>
    <w:rsid w:val="004613FA"/>
    <w:rsid w:val="00484844"/>
    <w:rsid w:val="004C1FD8"/>
    <w:rsid w:val="004F258B"/>
    <w:rsid w:val="00507654"/>
    <w:rsid w:val="0051471B"/>
    <w:rsid w:val="00527903"/>
    <w:rsid w:val="00534CAA"/>
    <w:rsid w:val="0053732B"/>
    <w:rsid w:val="005438CB"/>
    <w:rsid w:val="00576D88"/>
    <w:rsid w:val="005817E5"/>
    <w:rsid w:val="00593E4B"/>
    <w:rsid w:val="005E77E2"/>
    <w:rsid w:val="005F036A"/>
    <w:rsid w:val="005F250E"/>
    <w:rsid w:val="006034EC"/>
    <w:rsid w:val="00603AC0"/>
    <w:rsid w:val="00605605"/>
    <w:rsid w:val="006056C2"/>
    <w:rsid w:val="00610027"/>
    <w:rsid w:val="006338B1"/>
    <w:rsid w:val="006369C5"/>
    <w:rsid w:val="00652464"/>
    <w:rsid w:val="0066706B"/>
    <w:rsid w:val="00696387"/>
    <w:rsid w:val="006A3CC2"/>
    <w:rsid w:val="006B2ED2"/>
    <w:rsid w:val="006C7A0C"/>
    <w:rsid w:val="007251EF"/>
    <w:rsid w:val="00746482"/>
    <w:rsid w:val="00783084"/>
    <w:rsid w:val="007A61F1"/>
    <w:rsid w:val="007E1469"/>
    <w:rsid w:val="007F26C3"/>
    <w:rsid w:val="00805910"/>
    <w:rsid w:val="008259FB"/>
    <w:rsid w:val="00883AD3"/>
    <w:rsid w:val="008E7224"/>
    <w:rsid w:val="008F1ABA"/>
    <w:rsid w:val="008F7D83"/>
    <w:rsid w:val="009033A9"/>
    <w:rsid w:val="009073EC"/>
    <w:rsid w:val="009478FB"/>
    <w:rsid w:val="00951B77"/>
    <w:rsid w:val="009854C3"/>
    <w:rsid w:val="009B2F96"/>
    <w:rsid w:val="009B7479"/>
    <w:rsid w:val="009C106D"/>
    <w:rsid w:val="009C583E"/>
    <w:rsid w:val="009F0488"/>
    <w:rsid w:val="00A039B0"/>
    <w:rsid w:val="00A06867"/>
    <w:rsid w:val="00A25232"/>
    <w:rsid w:val="00A36A75"/>
    <w:rsid w:val="00A6753D"/>
    <w:rsid w:val="00A723F9"/>
    <w:rsid w:val="00A86993"/>
    <w:rsid w:val="00A9460A"/>
    <w:rsid w:val="00AA7C93"/>
    <w:rsid w:val="00AB677E"/>
    <w:rsid w:val="00AC0883"/>
    <w:rsid w:val="00AC0E4F"/>
    <w:rsid w:val="00AC0FC3"/>
    <w:rsid w:val="00AC4A91"/>
    <w:rsid w:val="00B019EA"/>
    <w:rsid w:val="00B2143F"/>
    <w:rsid w:val="00B24F91"/>
    <w:rsid w:val="00B24FB4"/>
    <w:rsid w:val="00BA4052"/>
    <w:rsid w:val="00BA4702"/>
    <w:rsid w:val="00BA514D"/>
    <w:rsid w:val="00BB507F"/>
    <w:rsid w:val="00BC4895"/>
    <w:rsid w:val="00BC79D8"/>
    <w:rsid w:val="00C0102E"/>
    <w:rsid w:val="00C170A5"/>
    <w:rsid w:val="00C2213E"/>
    <w:rsid w:val="00C3766A"/>
    <w:rsid w:val="00C47D16"/>
    <w:rsid w:val="00C71D53"/>
    <w:rsid w:val="00C770DD"/>
    <w:rsid w:val="00C82867"/>
    <w:rsid w:val="00CA51B4"/>
    <w:rsid w:val="00CB0009"/>
    <w:rsid w:val="00CC2821"/>
    <w:rsid w:val="00CE684E"/>
    <w:rsid w:val="00CE786A"/>
    <w:rsid w:val="00D17677"/>
    <w:rsid w:val="00D2277C"/>
    <w:rsid w:val="00D430C7"/>
    <w:rsid w:val="00D43681"/>
    <w:rsid w:val="00DB6D68"/>
    <w:rsid w:val="00DB7A52"/>
    <w:rsid w:val="00DC40AB"/>
    <w:rsid w:val="00DC40EE"/>
    <w:rsid w:val="00DD2705"/>
    <w:rsid w:val="00DE7AF9"/>
    <w:rsid w:val="00E26C24"/>
    <w:rsid w:val="00E42F64"/>
    <w:rsid w:val="00E4366C"/>
    <w:rsid w:val="00E5369B"/>
    <w:rsid w:val="00E66BB5"/>
    <w:rsid w:val="00E94EC6"/>
    <w:rsid w:val="00EA648D"/>
    <w:rsid w:val="00ED6153"/>
    <w:rsid w:val="00EE0E87"/>
    <w:rsid w:val="00EF0A00"/>
    <w:rsid w:val="00F5332B"/>
    <w:rsid w:val="00F9648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978148710">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2022-08-11T19:12:00Z</dcterms:created>
  <dcterms:modified xsi:type="dcterms:W3CDTF">2022-09-07T14:41:00Z</dcterms:modified>
</cp:coreProperties>
</file>