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68B7EA09" w:rsidR="00E42992" w:rsidRDefault="00CF1FC8">
                            <w:pPr>
                              <w:rPr>
                                <w:rFonts w:ascii="Calibri" w:hAnsi="Calibri"/>
                                <w:b/>
                                <w:color w:val="FFFFFF" w:themeColor="background1"/>
                                <w:sz w:val="72"/>
                              </w:rPr>
                            </w:pPr>
                            <w:r>
                              <w:rPr>
                                <w:rFonts w:ascii="Calibri" w:hAnsi="Calibri"/>
                                <w:b/>
                                <w:color w:val="FFFFFF" w:themeColor="background1"/>
                                <w:sz w:val="72"/>
                              </w:rPr>
                              <w:t>Resident Rights</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" filled="f" stroked="f" strokeweight=".5pt">
                <v:textbox>
                  <w:txbxContent>
                    <w:p w14:paraId="42E78FEC" w14:textId="68B7EA09" w:rsidR="00E42992" w:rsidRDefault="00CF1FC8">
                      <w:pPr>
                        <w:rPr>
                          <w:rFonts w:ascii="Calibri" w:hAnsi="Calibri"/>
                          <w:b/>
                          <w:color w:val="FFFFFF" w:themeColor="background1"/>
                          <w:sz w:val="72"/>
                        </w:rPr>
                      </w:pPr>
                      <w:r>
                        <w:rPr>
                          <w:rFonts w:ascii="Calibri" w:hAnsi="Calibri"/>
                          <w:b/>
                          <w:color w:val="FFFFFF" w:themeColor="background1"/>
                          <w:sz w:val="72"/>
                        </w:rPr>
                        <w:t>Resident Rights</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F62A0F"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F62A0F">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F62A0F">
                              <w:rPr>
                                <w:rFonts w:asciiTheme="minorHAnsi" w:hAnsiTheme="minorHAnsi"/>
                                <w:color w:val="FFFFFF" w:themeColor="background1"/>
                                <w:sz w:val="48"/>
                                <w:szCs w:val="48"/>
                                <w14:textOutline w14:w="9525" w14:cap="rnd" w14:cmpd="sng" w14:algn="ctr">
                                  <w14:noFill/>
                                  <w14:prstDash w14:val="solid"/>
                                  <w14:bevel/>
                                </w14:textOutline>
                              </w:rPr>
                              <w:t>’</w:t>
                            </w:r>
                            <w:r w:rsidRPr="00F62A0F">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" filled="f" stroked="f" strokeweight=".5pt">
                <v:textbox>
                  <w:txbxContent>
                    <w:p w14:paraId="030DB412" w14:textId="6DE1B7D1" w:rsidR="00484844" w:rsidRPr="00F62A0F"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F62A0F">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F62A0F">
                        <w:rPr>
                          <w:rFonts w:asciiTheme="minorHAnsi" w:hAnsiTheme="minorHAnsi"/>
                          <w:color w:val="FFFFFF" w:themeColor="background1"/>
                          <w:sz w:val="48"/>
                          <w:szCs w:val="48"/>
                          <w14:textOutline w14:w="9525" w14:cap="rnd" w14:cmpd="sng" w14:algn="ctr">
                            <w14:noFill/>
                            <w14:prstDash w14:val="solid"/>
                            <w14:bevel/>
                          </w14:textOutline>
                        </w:rPr>
                        <w:t>’</w:t>
                      </w:r>
                      <w:r w:rsidRPr="00F62A0F">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40831530" w14:textId="7DB6F024" w:rsidR="00DA0F48" w:rsidRPr="00DA0F48" w:rsidRDefault="00DA0F48" w:rsidP="00DA0F48">
      <w:pPr>
        <w:jc w:val="center"/>
        <w:rPr>
          <w:rFonts w:ascii="Calibri" w:hAnsi="Calibri" w:cs="Calibri"/>
          <w:b/>
          <w:sz w:val="28"/>
          <w:szCs w:val="28"/>
        </w:rPr>
      </w:pPr>
      <w:r w:rsidRPr="00DA0F48">
        <w:rPr>
          <w:rFonts w:ascii="Calibri" w:hAnsi="Calibri" w:cs="Calibri"/>
          <w:b/>
          <w:sz w:val="28"/>
          <w:szCs w:val="28"/>
        </w:rPr>
        <w:lastRenderedPageBreak/>
        <w:t>Resident Rights</w:t>
      </w:r>
      <w:r w:rsidR="00F47C9A">
        <w:rPr>
          <w:rFonts w:ascii="Calibri" w:hAnsi="Calibri" w:cs="Calibri"/>
          <w:b/>
          <w:sz w:val="28"/>
          <w:szCs w:val="28"/>
        </w:rPr>
        <w:t xml:space="preserve"> Leader’s Guide</w:t>
      </w:r>
    </w:p>
    <w:p w14:paraId="7FD09E56" w14:textId="77777777" w:rsidR="00DA0F48" w:rsidRPr="00DA0F48" w:rsidRDefault="00DA0F48" w:rsidP="00DA0F48">
      <w:pPr>
        <w:rPr>
          <w:rFonts w:ascii="Calibri" w:hAnsi="Calibri" w:cs="Calibri"/>
          <w:b/>
        </w:rPr>
      </w:pPr>
    </w:p>
    <w:p w14:paraId="01574986" w14:textId="77777777" w:rsidR="00DA0F48" w:rsidRPr="00DA0F48" w:rsidRDefault="00DA0F48" w:rsidP="00DA0F48">
      <w:pPr>
        <w:rPr>
          <w:rFonts w:ascii="Calibri" w:hAnsi="Calibri" w:cs="Calibri"/>
          <w:b/>
        </w:rPr>
      </w:pPr>
      <w:r w:rsidRPr="00DA0F48">
        <w:rPr>
          <w:rFonts w:ascii="Calibri" w:hAnsi="Calibri" w:cs="Calibri"/>
          <w:b/>
        </w:rPr>
        <w:t>Leader’s Guide</w:t>
      </w:r>
    </w:p>
    <w:p w14:paraId="0CAC4BF6" w14:textId="77777777" w:rsidR="00DA0F48" w:rsidRPr="00DA0F48" w:rsidRDefault="00DA0F48" w:rsidP="00DA0F48">
      <w:pPr>
        <w:rPr>
          <w:rFonts w:ascii="Calibri" w:hAnsi="Calibri" w:cs="Calibri"/>
          <w:b/>
        </w:rPr>
      </w:pPr>
    </w:p>
    <w:p w14:paraId="48EACB46" w14:textId="77777777" w:rsidR="00DA0F48" w:rsidRPr="00DA0F48" w:rsidRDefault="00DA0F48" w:rsidP="00DA0F48">
      <w:pPr>
        <w:rPr>
          <w:rFonts w:ascii="Calibri" w:hAnsi="Calibri" w:cs="Calibri"/>
          <w:b/>
        </w:rPr>
      </w:pPr>
      <w:r w:rsidRPr="00DA0F48">
        <w:rPr>
          <w:rFonts w:ascii="Calibri" w:hAnsi="Calibri" w:cs="Calibri"/>
          <w:b/>
        </w:rPr>
        <w:t>Guidance and Background</w:t>
      </w:r>
    </w:p>
    <w:p w14:paraId="72851687" w14:textId="77777777" w:rsidR="00DA0F48" w:rsidRPr="00DA0F48" w:rsidRDefault="00DA0F48" w:rsidP="00DA0F48">
      <w:pPr>
        <w:rPr>
          <w:rFonts w:ascii="Calibri" w:hAnsi="Calibri" w:cs="Calibri"/>
        </w:rPr>
      </w:pPr>
    </w:p>
    <w:p w14:paraId="76BE3652" w14:textId="77777777" w:rsidR="00DA0F48" w:rsidRPr="00CF1FC8" w:rsidRDefault="00DA0F48" w:rsidP="00DA0F48">
      <w:pPr>
        <w:rPr>
          <w:rFonts w:ascii="Calibri" w:hAnsi="Calibri" w:cs="Calibri"/>
          <w:szCs w:val="24"/>
        </w:rPr>
      </w:pPr>
      <w:r w:rsidRPr="00CF1FC8">
        <w:rPr>
          <w:rFonts w:ascii="Calibri" w:hAnsi="Calibri" w:cs="Calibri"/>
          <w:szCs w:val="24"/>
        </w:rPr>
        <w:t xml:space="preserve">Skilled Nursing residents have certain rights and protections the support the provision of series and activities to attain or maintain the highest practicable physical, mental and psychosocial well-being of each resident, placing strong emphasis on individual dignity and self-determination.  </w:t>
      </w:r>
    </w:p>
    <w:p w14:paraId="6FE6F25E" w14:textId="77777777" w:rsidR="00CF1FC8" w:rsidRDefault="00CF1FC8" w:rsidP="00DA0F48">
      <w:pPr>
        <w:rPr>
          <w:rFonts w:ascii="Calibri" w:hAnsi="Calibri" w:cs="Calibri"/>
          <w:szCs w:val="24"/>
        </w:rPr>
      </w:pPr>
    </w:p>
    <w:p w14:paraId="7A36DC99" w14:textId="64614C5F" w:rsidR="00DA0F48" w:rsidRPr="00CF1FC8" w:rsidRDefault="00DA0F48" w:rsidP="00DA0F48">
      <w:pPr>
        <w:rPr>
          <w:rFonts w:ascii="Calibri" w:hAnsi="Calibri" w:cs="Calibri"/>
          <w:szCs w:val="24"/>
        </w:rPr>
      </w:pPr>
      <w:r w:rsidRPr="00CF1FC8">
        <w:rPr>
          <w:rFonts w:ascii="Calibri" w:hAnsi="Calibri" w:cs="Calibri"/>
          <w:szCs w:val="24"/>
        </w:rPr>
        <w:t xml:space="preserve">Leaders in skilled nursing facilities set the tone and culture as it relates to resident rights and their ability to exercise their rights.  The regulations located at </w:t>
      </w:r>
      <w:r w:rsidRPr="00CF1FC8">
        <w:rPr>
          <w:rFonts w:ascii="Calibri" w:hAnsi="Calibri" w:cs="Calibri"/>
          <w:b/>
          <w:bCs/>
          <w:iCs/>
          <w:szCs w:val="24"/>
        </w:rPr>
        <w:t xml:space="preserve">§483.10(a) </w:t>
      </w:r>
      <w:r w:rsidRPr="00CF1FC8">
        <w:rPr>
          <w:rFonts w:ascii="Calibri" w:hAnsi="Calibri" w:cs="Calibri"/>
          <w:b/>
          <w:szCs w:val="24"/>
        </w:rPr>
        <w:t>lay</w:t>
      </w:r>
      <w:r w:rsidRPr="00CF1FC8">
        <w:rPr>
          <w:rFonts w:ascii="Calibri" w:hAnsi="Calibri" w:cs="Calibri"/>
          <w:szCs w:val="24"/>
        </w:rPr>
        <w:t xml:space="preserve"> the foundation for the resident rights requirements in long term care facilities.  </w:t>
      </w:r>
      <w:r w:rsidRPr="00CF1FC8">
        <w:rPr>
          <w:rFonts w:ascii="Calibri" w:hAnsi="Calibri" w:cs="Calibri"/>
          <w:iCs/>
          <w:szCs w:val="24"/>
        </w:rPr>
        <w:t>Each resident has the right to be treated with dignity and respect. All activities and inte</w:t>
      </w:r>
      <w:r w:rsidR="00CF1FC8">
        <w:rPr>
          <w:rFonts w:ascii="Calibri" w:hAnsi="Calibri" w:cs="Calibri"/>
          <w:iCs/>
          <w:szCs w:val="24"/>
        </w:rPr>
        <w:t>r</w:t>
      </w:r>
      <w:r w:rsidRPr="00CF1FC8">
        <w:rPr>
          <w:rFonts w:ascii="Calibri" w:hAnsi="Calibri" w:cs="Calibri"/>
          <w:iCs/>
          <w:szCs w:val="24"/>
        </w:rPr>
        <w:t xml:space="preserve">actions with residents by any staff, temporary agency staff or volunteers must focus on assisting the resident in maintaining and enhancing his or her self-esteem and self-worth and incorporating the resident’s, goals, preferences, and choices. When providing care and services, staff must respect each resident’s individuality, as well as honor and value their input. </w:t>
      </w:r>
      <w:r w:rsidRPr="00CF1FC8">
        <w:rPr>
          <w:rFonts w:ascii="Calibri" w:hAnsi="Calibri" w:cs="Calibri"/>
          <w:szCs w:val="24"/>
        </w:rPr>
        <w:t xml:space="preserve"> </w:t>
      </w:r>
    </w:p>
    <w:p w14:paraId="554DFA7E" w14:textId="77777777" w:rsidR="00CF1FC8" w:rsidRDefault="00CF1FC8" w:rsidP="00DA0F48">
      <w:pPr>
        <w:rPr>
          <w:rFonts w:ascii="Calibri" w:hAnsi="Calibri" w:cs="Calibri"/>
          <w:szCs w:val="24"/>
        </w:rPr>
      </w:pPr>
    </w:p>
    <w:p w14:paraId="25B9E0AE" w14:textId="03BBC3AA" w:rsidR="00DA0F48" w:rsidRPr="00CF1FC8" w:rsidRDefault="00DA0F48" w:rsidP="00DA0F48">
      <w:pPr>
        <w:rPr>
          <w:rFonts w:ascii="Calibri" w:hAnsi="Calibri" w:cs="Calibri"/>
          <w:szCs w:val="24"/>
        </w:rPr>
      </w:pPr>
      <w:r w:rsidRPr="00CF1FC8">
        <w:rPr>
          <w:rFonts w:ascii="Calibri" w:hAnsi="Calibri" w:cs="Calibri"/>
          <w:szCs w:val="24"/>
        </w:rPr>
        <w:t xml:space="preserve">Staff knowledge, understanding and competency related to resident rights is a top priority.  It is important that all staff understand the expectations of the regulations and their respective roles and responsibilities.  Organizational Leaders will need to ensure competency of all staff members as it relates to resident rights and include such training and competency skills verification upon hire and annually at a minimum.  Training should be designed using information from the Facility-wide Resource Assessment as well as other training sources.  </w:t>
      </w:r>
    </w:p>
    <w:p w14:paraId="66ED39DE" w14:textId="77777777" w:rsidR="00DA0F48" w:rsidRPr="00CF1FC8" w:rsidRDefault="00DA0F48" w:rsidP="00DA0F48">
      <w:pPr>
        <w:rPr>
          <w:rFonts w:ascii="Calibri" w:hAnsi="Calibri" w:cs="Calibri"/>
          <w:szCs w:val="24"/>
        </w:rPr>
      </w:pPr>
    </w:p>
    <w:p w14:paraId="35D1DE81" w14:textId="14B5766A" w:rsidR="00DA0F48" w:rsidRDefault="00DA0F48" w:rsidP="00DA0F48">
      <w:pPr>
        <w:rPr>
          <w:rFonts w:ascii="Calibri" w:hAnsi="Calibri" w:cs="Calibri"/>
          <w:szCs w:val="24"/>
        </w:rPr>
      </w:pPr>
      <w:r w:rsidRPr="00CF1FC8">
        <w:rPr>
          <w:rFonts w:ascii="Calibri" w:hAnsi="Calibri" w:cs="Calibri"/>
          <w:szCs w:val="24"/>
        </w:rPr>
        <w:t>Organizational leaders will need to ensure competency of all staff members as it relates to resident rights.  Adequate resources for the program will need to be evaluated using information from the Facility-Wide Resource Assessment including:</w:t>
      </w:r>
    </w:p>
    <w:p w14:paraId="108C89B7" w14:textId="77777777" w:rsidR="00CF1FC8" w:rsidRPr="00CF1FC8" w:rsidRDefault="00CF1FC8" w:rsidP="00DA0F48">
      <w:pPr>
        <w:rPr>
          <w:rFonts w:ascii="Calibri" w:hAnsi="Calibri" w:cs="Calibri"/>
          <w:szCs w:val="24"/>
        </w:rPr>
      </w:pPr>
    </w:p>
    <w:p w14:paraId="4F51C112" w14:textId="77777777" w:rsidR="00DA0F48" w:rsidRPr="00CF1FC8" w:rsidRDefault="00DA0F48" w:rsidP="00DA0F48">
      <w:pPr>
        <w:pStyle w:val="ListParagraph"/>
        <w:numPr>
          <w:ilvl w:val="0"/>
          <w:numId w:val="45"/>
        </w:numPr>
        <w:contextualSpacing/>
        <w:rPr>
          <w:rFonts w:ascii="Calibri" w:hAnsi="Calibri" w:cs="Calibri"/>
          <w:szCs w:val="24"/>
        </w:rPr>
      </w:pPr>
      <w:r w:rsidRPr="00CF1FC8">
        <w:rPr>
          <w:rFonts w:ascii="Calibri" w:hAnsi="Calibri" w:cs="Calibri"/>
          <w:szCs w:val="24"/>
        </w:rPr>
        <w:t>Staff Resources</w:t>
      </w:r>
    </w:p>
    <w:p w14:paraId="0E68B0F3" w14:textId="77777777" w:rsidR="00DA0F48" w:rsidRPr="00CF1FC8" w:rsidRDefault="00DA0F48" w:rsidP="00DA0F48">
      <w:pPr>
        <w:pStyle w:val="ListParagraph"/>
        <w:numPr>
          <w:ilvl w:val="1"/>
          <w:numId w:val="45"/>
        </w:numPr>
        <w:contextualSpacing/>
        <w:rPr>
          <w:rFonts w:ascii="Calibri" w:hAnsi="Calibri" w:cs="Calibri"/>
          <w:szCs w:val="24"/>
        </w:rPr>
      </w:pPr>
      <w:r w:rsidRPr="00CF1FC8">
        <w:rPr>
          <w:rFonts w:ascii="Calibri" w:hAnsi="Calibri" w:cs="Calibri"/>
          <w:szCs w:val="24"/>
        </w:rPr>
        <w:t xml:space="preserve">All staff - all departments </w:t>
      </w:r>
    </w:p>
    <w:p w14:paraId="615912D9" w14:textId="77777777" w:rsidR="00DA0F48" w:rsidRPr="00CF1FC8" w:rsidRDefault="00DA0F48" w:rsidP="00DA0F48">
      <w:pPr>
        <w:pStyle w:val="ListParagraph"/>
        <w:numPr>
          <w:ilvl w:val="0"/>
          <w:numId w:val="45"/>
        </w:numPr>
        <w:contextualSpacing/>
        <w:rPr>
          <w:rFonts w:ascii="Calibri" w:hAnsi="Calibri" w:cs="Calibri"/>
          <w:szCs w:val="24"/>
        </w:rPr>
      </w:pPr>
      <w:r w:rsidRPr="00CF1FC8">
        <w:rPr>
          <w:rFonts w:ascii="Calibri" w:hAnsi="Calibri" w:cs="Calibri"/>
          <w:szCs w:val="24"/>
        </w:rPr>
        <w:t>Documentation Considerations</w:t>
      </w:r>
    </w:p>
    <w:p w14:paraId="3134EDFE" w14:textId="77777777" w:rsidR="00DA0F48" w:rsidRPr="00CF1FC8" w:rsidRDefault="00DA0F48" w:rsidP="00DA0F48">
      <w:pPr>
        <w:numPr>
          <w:ilvl w:val="1"/>
          <w:numId w:val="45"/>
        </w:numPr>
        <w:contextualSpacing/>
        <w:rPr>
          <w:rFonts w:ascii="Calibri" w:hAnsi="Calibri" w:cs="Calibri"/>
          <w:szCs w:val="24"/>
        </w:rPr>
      </w:pPr>
      <w:r w:rsidRPr="00CF1FC8">
        <w:rPr>
          <w:rFonts w:ascii="Calibri" w:hAnsi="Calibri" w:cs="Calibri"/>
          <w:szCs w:val="24"/>
        </w:rPr>
        <w:t>Assessment/Evaluation of Resident preferences and needs</w:t>
      </w:r>
    </w:p>
    <w:p w14:paraId="569AF6F9" w14:textId="77777777" w:rsidR="00DA0F48" w:rsidRPr="00CF1FC8" w:rsidRDefault="00DA0F48" w:rsidP="00DA0F48">
      <w:pPr>
        <w:numPr>
          <w:ilvl w:val="1"/>
          <w:numId w:val="45"/>
        </w:numPr>
        <w:contextualSpacing/>
        <w:rPr>
          <w:rFonts w:ascii="Calibri" w:hAnsi="Calibri" w:cs="Calibri"/>
          <w:szCs w:val="24"/>
        </w:rPr>
      </w:pPr>
      <w:r w:rsidRPr="00CF1FC8">
        <w:rPr>
          <w:rFonts w:ascii="Calibri" w:hAnsi="Calibri" w:cs="Calibri"/>
          <w:szCs w:val="24"/>
        </w:rPr>
        <w:t>Social Services</w:t>
      </w:r>
    </w:p>
    <w:p w14:paraId="12019629" w14:textId="77777777" w:rsidR="00DA0F48" w:rsidRPr="00CF1FC8" w:rsidRDefault="00DA0F48" w:rsidP="00DA0F48">
      <w:pPr>
        <w:numPr>
          <w:ilvl w:val="1"/>
          <w:numId w:val="45"/>
        </w:numPr>
        <w:contextualSpacing/>
        <w:rPr>
          <w:rFonts w:ascii="Calibri" w:hAnsi="Calibri" w:cs="Calibri"/>
          <w:szCs w:val="24"/>
        </w:rPr>
      </w:pPr>
      <w:r w:rsidRPr="00CF1FC8">
        <w:rPr>
          <w:rFonts w:ascii="Calibri" w:hAnsi="Calibri" w:cs="Calibri"/>
          <w:szCs w:val="24"/>
        </w:rPr>
        <w:t xml:space="preserve">Admission and Preadmission </w:t>
      </w:r>
    </w:p>
    <w:p w14:paraId="61EA655B" w14:textId="77777777" w:rsidR="00DA0F48" w:rsidRPr="00CF1FC8" w:rsidRDefault="00DA0F48" w:rsidP="00DA0F48">
      <w:pPr>
        <w:numPr>
          <w:ilvl w:val="1"/>
          <w:numId w:val="45"/>
        </w:numPr>
        <w:contextualSpacing/>
        <w:rPr>
          <w:rFonts w:ascii="Calibri" w:hAnsi="Calibri" w:cs="Calibri"/>
          <w:szCs w:val="24"/>
        </w:rPr>
      </w:pPr>
      <w:r w:rsidRPr="00CF1FC8">
        <w:rPr>
          <w:rFonts w:ascii="Calibri" w:hAnsi="Calibri" w:cs="Calibri"/>
          <w:szCs w:val="24"/>
        </w:rPr>
        <w:t>Individualized Care Plans and Communication of Resident desires</w:t>
      </w:r>
    </w:p>
    <w:p w14:paraId="783F3251" w14:textId="77777777" w:rsidR="00DA0F48" w:rsidRPr="00CF1FC8" w:rsidRDefault="00DA0F48" w:rsidP="00DA0F48">
      <w:pPr>
        <w:numPr>
          <w:ilvl w:val="1"/>
          <w:numId w:val="45"/>
        </w:numPr>
        <w:contextualSpacing/>
        <w:rPr>
          <w:rFonts w:ascii="Calibri" w:hAnsi="Calibri" w:cs="Calibri"/>
          <w:szCs w:val="24"/>
        </w:rPr>
      </w:pPr>
      <w:r w:rsidRPr="00CF1FC8">
        <w:rPr>
          <w:rFonts w:ascii="Calibri" w:hAnsi="Calibri" w:cs="Calibri"/>
          <w:szCs w:val="24"/>
        </w:rPr>
        <w:t>Availability of materials to file grievances</w:t>
      </w:r>
    </w:p>
    <w:p w14:paraId="2B7A3A99" w14:textId="77777777" w:rsidR="00DA0F48" w:rsidRPr="00CF1FC8" w:rsidRDefault="00DA0F48" w:rsidP="00DA0F48">
      <w:pPr>
        <w:numPr>
          <w:ilvl w:val="1"/>
          <w:numId w:val="45"/>
        </w:numPr>
        <w:contextualSpacing/>
        <w:rPr>
          <w:rFonts w:ascii="Calibri" w:hAnsi="Calibri" w:cs="Calibri"/>
          <w:szCs w:val="24"/>
        </w:rPr>
      </w:pPr>
      <w:r w:rsidRPr="00CF1FC8">
        <w:rPr>
          <w:rFonts w:ascii="Calibri" w:hAnsi="Calibri" w:cs="Calibri"/>
          <w:szCs w:val="24"/>
        </w:rPr>
        <w:t xml:space="preserve">Resident Council/Family Council notes and follow up </w:t>
      </w:r>
    </w:p>
    <w:p w14:paraId="0B26CC16" w14:textId="77777777" w:rsidR="00DA0F48" w:rsidRPr="00CF1FC8" w:rsidRDefault="00DA0F48" w:rsidP="00DA0F48">
      <w:pPr>
        <w:pStyle w:val="ListParagraph"/>
        <w:numPr>
          <w:ilvl w:val="1"/>
          <w:numId w:val="45"/>
        </w:numPr>
        <w:contextualSpacing/>
        <w:rPr>
          <w:rFonts w:ascii="Calibri" w:hAnsi="Calibri" w:cs="Calibri"/>
          <w:szCs w:val="24"/>
        </w:rPr>
      </w:pPr>
      <w:r w:rsidRPr="00CF1FC8">
        <w:rPr>
          <w:rFonts w:ascii="Calibri" w:hAnsi="Calibri" w:cs="Calibri"/>
          <w:szCs w:val="24"/>
        </w:rPr>
        <w:t>Assessment/Evaluation forms</w:t>
      </w:r>
    </w:p>
    <w:p w14:paraId="6A702CED" w14:textId="77777777" w:rsidR="00DA0F48" w:rsidRPr="00CF1FC8" w:rsidRDefault="00DA0F48" w:rsidP="00DA0F48">
      <w:pPr>
        <w:pStyle w:val="ListParagraph"/>
        <w:numPr>
          <w:ilvl w:val="1"/>
          <w:numId w:val="45"/>
        </w:numPr>
        <w:contextualSpacing/>
        <w:rPr>
          <w:rFonts w:ascii="Calibri" w:hAnsi="Calibri" w:cs="Calibri"/>
          <w:szCs w:val="24"/>
        </w:rPr>
      </w:pPr>
      <w:r w:rsidRPr="00CF1FC8">
        <w:rPr>
          <w:rFonts w:ascii="Calibri" w:hAnsi="Calibri" w:cs="Calibri"/>
          <w:szCs w:val="24"/>
        </w:rPr>
        <w:lastRenderedPageBreak/>
        <w:t>Care planning</w:t>
      </w:r>
    </w:p>
    <w:p w14:paraId="6C785E21" w14:textId="77777777" w:rsidR="00DA0F48" w:rsidRPr="00CF1FC8" w:rsidRDefault="00DA0F48" w:rsidP="00DA0F48">
      <w:pPr>
        <w:pStyle w:val="ListParagraph"/>
        <w:numPr>
          <w:ilvl w:val="1"/>
          <w:numId w:val="45"/>
        </w:numPr>
        <w:contextualSpacing/>
        <w:rPr>
          <w:rFonts w:ascii="Calibri" w:hAnsi="Calibri" w:cs="Calibri"/>
          <w:szCs w:val="24"/>
        </w:rPr>
      </w:pPr>
      <w:r w:rsidRPr="00CF1FC8">
        <w:rPr>
          <w:rFonts w:ascii="Calibri" w:hAnsi="Calibri" w:cs="Calibri"/>
          <w:szCs w:val="24"/>
        </w:rPr>
        <w:t>Postings</w:t>
      </w:r>
    </w:p>
    <w:p w14:paraId="60C0169E" w14:textId="77777777" w:rsidR="00DA0F48" w:rsidRPr="00CF1FC8" w:rsidRDefault="00DA0F48" w:rsidP="00DA0F48">
      <w:pPr>
        <w:pStyle w:val="ListParagraph"/>
        <w:numPr>
          <w:ilvl w:val="1"/>
          <w:numId w:val="45"/>
        </w:numPr>
        <w:contextualSpacing/>
        <w:rPr>
          <w:rFonts w:ascii="Calibri" w:hAnsi="Calibri" w:cs="Calibri"/>
          <w:szCs w:val="24"/>
        </w:rPr>
      </w:pPr>
      <w:r w:rsidRPr="00CF1FC8">
        <w:rPr>
          <w:rFonts w:ascii="Calibri" w:hAnsi="Calibri" w:cs="Calibri"/>
          <w:szCs w:val="24"/>
        </w:rPr>
        <w:t>Financial resources</w:t>
      </w:r>
    </w:p>
    <w:p w14:paraId="44308457" w14:textId="77777777" w:rsidR="00DA0F48" w:rsidRPr="00CF1FC8" w:rsidRDefault="00DA0F48" w:rsidP="00DA0F48">
      <w:pPr>
        <w:pStyle w:val="ListParagraph"/>
        <w:numPr>
          <w:ilvl w:val="1"/>
          <w:numId w:val="45"/>
        </w:numPr>
        <w:contextualSpacing/>
        <w:rPr>
          <w:rFonts w:ascii="Calibri" w:hAnsi="Calibri" w:cs="Calibri"/>
          <w:szCs w:val="24"/>
        </w:rPr>
      </w:pPr>
      <w:r w:rsidRPr="00CF1FC8">
        <w:rPr>
          <w:rFonts w:ascii="Calibri" w:hAnsi="Calibri" w:cs="Calibri"/>
          <w:szCs w:val="24"/>
        </w:rPr>
        <w:t xml:space="preserve">Ombudsman </w:t>
      </w:r>
    </w:p>
    <w:p w14:paraId="1451C863" w14:textId="77777777" w:rsidR="00DA0F48" w:rsidRPr="00CF1FC8" w:rsidRDefault="00DA0F48" w:rsidP="00DA0F48">
      <w:pPr>
        <w:pStyle w:val="ListParagraph"/>
        <w:numPr>
          <w:ilvl w:val="0"/>
          <w:numId w:val="45"/>
        </w:numPr>
        <w:contextualSpacing/>
        <w:rPr>
          <w:rFonts w:ascii="Calibri" w:hAnsi="Calibri" w:cs="Calibri"/>
          <w:szCs w:val="24"/>
        </w:rPr>
      </w:pPr>
      <w:r w:rsidRPr="00CF1FC8">
        <w:rPr>
          <w:rFonts w:ascii="Calibri" w:hAnsi="Calibri" w:cs="Calibri"/>
          <w:szCs w:val="24"/>
        </w:rPr>
        <w:t>Education</w:t>
      </w:r>
    </w:p>
    <w:p w14:paraId="20813C15" w14:textId="77777777" w:rsidR="00DA0F48" w:rsidRPr="00CF1FC8" w:rsidRDefault="00DA0F48" w:rsidP="00DA0F48">
      <w:pPr>
        <w:pStyle w:val="ListParagraph"/>
        <w:numPr>
          <w:ilvl w:val="1"/>
          <w:numId w:val="45"/>
        </w:numPr>
        <w:contextualSpacing/>
        <w:rPr>
          <w:rFonts w:ascii="Calibri" w:hAnsi="Calibri" w:cs="Calibri"/>
          <w:szCs w:val="24"/>
        </w:rPr>
      </w:pPr>
      <w:r w:rsidRPr="00CF1FC8">
        <w:rPr>
          <w:rFonts w:ascii="Calibri" w:hAnsi="Calibri" w:cs="Calibri"/>
          <w:szCs w:val="24"/>
        </w:rPr>
        <w:t>All Health Center Team Members</w:t>
      </w:r>
    </w:p>
    <w:p w14:paraId="18EABB5C" w14:textId="77777777" w:rsidR="00DA0F48" w:rsidRPr="00CF1FC8" w:rsidRDefault="00DA0F48" w:rsidP="00DA0F48">
      <w:pPr>
        <w:pStyle w:val="ListParagraph"/>
        <w:numPr>
          <w:ilvl w:val="1"/>
          <w:numId w:val="45"/>
        </w:numPr>
        <w:contextualSpacing/>
        <w:rPr>
          <w:rFonts w:ascii="Calibri" w:hAnsi="Calibri" w:cs="Calibri"/>
          <w:szCs w:val="24"/>
        </w:rPr>
      </w:pPr>
      <w:r w:rsidRPr="00CF1FC8">
        <w:rPr>
          <w:rFonts w:ascii="Calibri" w:hAnsi="Calibri" w:cs="Calibri"/>
          <w:szCs w:val="24"/>
        </w:rPr>
        <w:t>Volunteers</w:t>
      </w:r>
    </w:p>
    <w:p w14:paraId="00228813" w14:textId="77777777" w:rsidR="00DA0F48" w:rsidRPr="00CF1FC8" w:rsidRDefault="00DA0F48" w:rsidP="00DA0F48">
      <w:pPr>
        <w:pStyle w:val="ListParagraph"/>
        <w:numPr>
          <w:ilvl w:val="1"/>
          <w:numId w:val="45"/>
        </w:numPr>
        <w:contextualSpacing/>
        <w:rPr>
          <w:rFonts w:ascii="Calibri" w:hAnsi="Calibri" w:cs="Calibri"/>
          <w:szCs w:val="24"/>
        </w:rPr>
      </w:pPr>
      <w:r w:rsidRPr="00CF1FC8">
        <w:rPr>
          <w:rFonts w:ascii="Calibri" w:hAnsi="Calibri" w:cs="Calibri"/>
          <w:szCs w:val="24"/>
        </w:rPr>
        <w:t>Agency Staff</w:t>
      </w:r>
    </w:p>
    <w:p w14:paraId="47CAF79A" w14:textId="77777777" w:rsidR="00DA0F48" w:rsidRPr="00CF1FC8" w:rsidRDefault="00DA0F48" w:rsidP="00DA0F48">
      <w:pPr>
        <w:pStyle w:val="ListParagraph"/>
        <w:numPr>
          <w:ilvl w:val="1"/>
          <w:numId w:val="45"/>
        </w:numPr>
        <w:contextualSpacing/>
        <w:rPr>
          <w:rFonts w:ascii="Calibri" w:hAnsi="Calibri" w:cs="Calibri"/>
          <w:szCs w:val="24"/>
        </w:rPr>
      </w:pPr>
      <w:r w:rsidRPr="00CF1FC8">
        <w:rPr>
          <w:rFonts w:ascii="Calibri" w:hAnsi="Calibri" w:cs="Calibri"/>
          <w:szCs w:val="24"/>
        </w:rPr>
        <w:t xml:space="preserve">Contractors </w:t>
      </w:r>
    </w:p>
    <w:p w14:paraId="5089995A" w14:textId="77777777" w:rsidR="00DA0F48" w:rsidRPr="00CF1FC8" w:rsidRDefault="00DA0F48" w:rsidP="00DA0F48">
      <w:pPr>
        <w:pStyle w:val="ListParagraph"/>
        <w:numPr>
          <w:ilvl w:val="0"/>
          <w:numId w:val="45"/>
        </w:numPr>
        <w:contextualSpacing/>
        <w:rPr>
          <w:rFonts w:ascii="Calibri" w:hAnsi="Calibri" w:cs="Calibri"/>
          <w:szCs w:val="24"/>
        </w:rPr>
      </w:pPr>
      <w:r w:rsidRPr="00CF1FC8">
        <w:rPr>
          <w:rFonts w:ascii="Calibri" w:hAnsi="Calibri" w:cs="Calibri"/>
          <w:szCs w:val="24"/>
        </w:rPr>
        <w:t>Evaluation and Monitoring</w:t>
      </w:r>
    </w:p>
    <w:p w14:paraId="49CCE1B8" w14:textId="77777777" w:rsidR="00DA0F48" w:rsidRPr="00CF1FC8" w:rsidRDefault="00DA0F48" w:rsidP="00DA0F48">
      <w:pPr>
        <w:numPr>
          <w:ilvl w:val="1"/>
          <w:numId w:val="45"/>
        </w:numPr>
        <w:contextualSpacing/>
        <w:rPr>
          <w:rFonts w:ascii="Calibri" w:hAnsi="Calibri" w:cs="Calibri"/>
          <w:szCs w:val="24"/>
        </w:rPr>
      </w:pPr>
      <w:r w:rsidRPr="00CF1FC8">
        <w:rPr>
          <w:rFonts w:ascii="Calibri" w:hAnsi="Calibri" w:cs="Calibri"/>
          <w:szCs w:val="24"/>
        </w:rPr>
        <w:t>Resident/Representative Satisfaction</w:t>
      </w:r>
    </w:p>
    <w:p w14:paraId="53FC2962" w14:textId="77777777" w:rsidR="00DA0F48" w:rsidRPr="00CF1FC8" w:rsidRDefault="00DA0F48" w:rsidP="00DA0F48">
      <w:pPr>
        <w:numPr>
          <w:ilvl w:val="1"/>
          <w:numId w:val="45"/>
        </w:numPr>
        <w:contextualSpacing/>
        <w:rPr>
          <w:rFonts w:ascii="Calibri" w:hAnsi="Calibri" w:cs="Calibri"/>
          <w:szCs w:val="24"/>
        </w:rPr>
      </w:pPr>
      <w:r w:rsidRPr="00CF1FC8">
        <w:rPr>
          <w:rFonts w:ascii="Calibri" w:hAnsi="Calibri" w:cs="Calibri"/>
          <w:szCs w:val="24"/>
        </w:rPr>
        <w:t>Maintenance and cleanliness of the environment</w:t>
      </w:r>
    </w:p>
    <w:p w14:paraId="0BCC70C4" w14:textId="77777777" w:rsidR="00DA0F48" w:rsidRPr="00CF1FC8" w:rsidRDefault="00DA0F48" w:rsidP="00DA0F48">
      <w:pPr>
        <w:numPr>
          <w:ilvl w:val="1"/>
          <w:numId w:val="45"/>
        </w:numPr>
        <w:contextualSpacing/>
        <w:rPr>
          <w:rFonts w:ascii="Calibri" w:hAnsi="Calibri" w:cs="Calibri"/>
          <w:szCs w:val="24"/>
        </w:rPr>
      </w:pPr>
      <w:r w:rsidRPr="00CF1FC8">
        <w:rPr>
          <w:rFonts w:ascii="Calibri" w:hAnsi="Calibri" w:cs="Calibri"/>
          <w:szCs w:val="24"/>
        </w:rPr>
        <w:t xml:space="preserve">QAPI processes including the review of grievances, complaints, and audits of satisfaction </w:t>
      </w:r>
    </w:p>
    <w:p w14:paraId="3D0ED2B7" w14:textId="77777777" w:rsidR="00DA0F48" w:rsidRPr="00CF1FC8" w:rsidRDefault="00DA0F48" w:rsidP="00DA0F48">
      <w:pPr>
        <w:pStyle w:val="ListParagraph"/>
        <w:numPr>
          <w:ilvl w:val="0"/>
          <w:numId w:val="45"/>
        </w:numPr>
        <w:contextualSpacing/>
        <w:rPr>
          <w:rFonts w:ascii="Calibri" w:hAnsi="Calibri" w:cs="Calibri"/>
          <w:szCs w:val="24"/>
        </w:rPr>
      </w:pPr>
      <w:r w:rsidRPr="00CF1FC8">
        <w:rPr>
          <w:rFonts w:ascii="Calibri" w:hAnsi="Calibri" w:cs="Calibri"/>
          <w:szCs w:val="24"/>
        </w:rPr>
        <w:t>Supplies and Equipment, Etc.</w:t>
      </w:r>
    </w:p>
    <w:p w14:paraId="7CB68334" w14:textId="77777777" w:rsidR="00DA0F48" w:rsidRPr="00CF1FC8" w:rsidRDefault="00DA0F48" w:rsidP="00DA0F48">
      <w:pPr>
        <w:pStyle w:val="ListParagraph"/>
        <w:numPr>
          <w:ilvl w:val="1"/>
          <w:numId w:val="45"/>
        </w:numPr>
        <w:contextualSpacing/>
        <w:rPr>
          <w:rFonts w:ascii="Calibri" w:hAnsi="Calibri" w:cs="Calibri"/>
          <w:szCs w:val="24"/>
        </w:rPr>
      </w:pPr>
      <w:r w:rsidRPr="00CF1FC8">
        <w:rPr>
          <w:rFonts w:ascii="Calibri" w:hAnsi="Calibri" w:cs="Calibri"/>
          <w:szCs w:val="24"/>
        </w:rPr>
        <w:t>Activities/Therapeutic Recreation</w:t>
      </w:r>
    </w:p>
    <w:p w14:paraId="00D46219" w14:textId="77777777" w:rsidR="00DA0F48" w:rsidRPr="00CF1FC8" w:rsidRDefault="00DA0F48" w:rsidP="00DA0F48">
      <w:pPr>
        <w:pStyle w:val="ListParagraph"/>
        <w:numPr>
          <w:ilvl w:val="1"/>
          <w:numId w:val="45"/>
        </w:numPr>
        <w:contextualSpacing/>
        <w:rPr>
          <w:rFonts w:ascii="Calibri" w:hAnsi="Calibri" w:cs="Calibri"/>
          <w:szCs w:val="24"/>
        </w:rPr>
      </w:pPr>
      <w:r w:rsidRPr="00CF1FC8">
        <w:rPr>
          <w:rFonts w:ascii="Calibri" w:hAnsi="Calibri" w:cs="Calibri"/>
          <w:szCs w:val="24"/>
        </w:rPr>
        <w:t>Physicians, Physician extenders, Psychologists, Pharmacists</w:t>
      </w:r>
    </w:p>
    <w:p w14:paraId="6EC40477" w14:textId="77777777" w:rsidR="00DA0F48" w:rsidRPr="00CF1FC8" w:rsidRDefault="00DA0F48" w:rsidP="00DA0F48">
      <w:pPr>
        <w:pStyle w:val="ListParagraph"/>
        <w:numPr>
          <w:ilvl w:val="1"/>
          <w:numId w:val="45"/>
        </w:numPr>
        <w:contextualSpacing/>
        <w:rPr>
          <w:rFonts w:ascii="Calibri" w:hAnsi="Calibri" w:cs="Calibri"/>
          <w:szCs w:val="24"/>
        </w:rPr>
      </w:pPr>
      <w:r w:rsidRPr="00CF1FC8">
        <w:rPr>
          <w:rFonts w:ascii="Calibri" w:hAnsi="Calibri" w:cs="Calibri"/>
          <w:szCs w:val="24"/>
        </w:rPr>
        <w:t>Volunteers</w:t>
      </w:r>
    </w:p>
    <w:p w14:paraId="70EC2996" w14:textId="77777777" w:rsidR="00DA0F48" w:rsidRPr="00CF1FC8" w:rsidRDefault="00DA0F48" w:rsidP="00DA0F48">
      <w:pPr>
        <w:ind w:left="1080"/>
        <w:rPr>
          <w:rFonts w:ascii="Calibri" w:hAnsi="Calibri" w:cs="Calibri"/>
          <w:szCs w:val="24"/>
        </w:rPr>
      </w:pPr>
    </w:p>
    <w:p w14:paraId="54C4408E" w14:textId="77777777" w:rsidR="00DA0F48" w:rsidRDefault="00DA0F48" w:rsidP="00DA0F48">
      <w:pPr>
        <w:ind w:left="1080"/>
        <w:rPr>
          <w:rFonts w:ascii="Calibri" w:hAnsi="Calibri" w:cs="Calibri"/>
        </w:rPr>
      </w:pPr>
    </w:p>
    <w:p w14:paraId="07ED7968" w14:textId="77777777" w:rsidR="00DA0F48" w:rsidRPr="00F62A0F" w:rsidRDefault="00DA0F48" w:rsidP="00DA0F48">
      <w:pPr>
        <w:ind w:left="1080"/>
        <w:rPr>
          <w:rFonts w:ascii="Calibri" w:hAnsi="Calibri" w:cs="Calibri"/>
          <w:b/>
        </w:rPr>
      </w:pPr>
    </w:p>
    <w:p w14:paraId="3C573AE3" w14:textId="6E278F0F" w:rsidR="00DA0F48" w:rsidRDefault="00F62A0F" w:rsidP="00F62A0F">
      <w:pPr>
        <w:rPr>
          <w:rFonts w:ascii="Calibri" w:hAnsi="Calibri" w:cs="Calibri"/>
        </w:rPr>
      </w:pPr>
      <w:r w:rsidRPr="00F62A0F">
        <w:rPr>
          <w:rFonts w:ascii="Calibri" w:hAnsi="Calibri" w:cs="Calibri"/>
          <w:b/>
        </w:rPr>
        <w:t>Resource</w:t>
      </w:r>
      <w:r w:rsidR="00F47C9A">
        <w:rPr>
          <w:rFonts w:ascii="Calibri" w:hAnsi="Calibri" w:cs="Calibri"/>
          <w:b/>
        </w:rPr>
        <w:t>s</w:t>
      </w:r>
      <w:r>
        <w:rPr>
          <w:rFonts w:ascii="Calibri" w:hAnsi="Calibri" w:cs="Calibri"/>
        </w:rPr>
        <w:t xml:space="preserve"> </w:t>
      </w:r>
    </w:p>
    <w:p w14:paraId="6B0A4FDA" w14:textId="77777777" w:rsidR="00F62A0F" w:rsidRDefault="00F62A0F" w:rsidP="00F62A0F">
      <w:pPr>
        <w:rPr>
          <w:rFonts w:ascii="Calibri" w:hAnsi="Calibri" w:cs="Calibri"/>
        </w:rPr>
      </w:pPr>
    </w:p>
    <w:p w14:paraId="797AE177" w14:textId="77777777" w:rsidR="00DA0F48" w:rsidRPr="00F62A0F" w:rsidRDefault="00DA0F48" w:rsidP="00DA0F48">
      <w:pPr>
        <w:pStyle w:val="FootnoteText"/>
        <w:rPr>
          <w:rFonts w:asciiTheme="minorHAnsi" w:hAnsiTheme="minorHAnsi" w:cstheme="minorHAnsi"/>
          <w:sz w:val="22"/>
          <w:szCs w:val="22"/>
        </w:rPr>
      </w:pPr>
      <w:r w:rsidRPr="00F62A0F">
        <w:rPr>
          <w:rFonts w:asciiTheme="minorHAnsi" w:hAnsiTheme="minorHAnsi" w:cstheme="minorHAnsi"/>
          <w:sz w:val="22"/>
          <w:szCs w:val="22"/>
        </w:rPr>
        <w:t xml:space="preserve">Centers for Medicare and Medicaid Services (CMS) State Operations Manual, Appendix PP.  Guidance to Surveyors for Long Term Care Facilities:  </w:t>
      </w:r>
      <w:hyperlink r:id="rId8" w:history="1">
        <w:r w:rsidRPr="00F62A0F">
          <w:rPr>
            <w:rStyle w:val="Hyperlink"/>
            <w:rFonts w:asciiTheme="minorHAnsi" w:hAnsiTheme="minorHAnsi" w:cstheme="minorHAnsi"/>
            <w:sz w:val="22"/>
            <w:szCs w:val="22"/>
          </w:rPr>
          <w:t>https://www.cms.gov/Regulations-and-Guidance/Guidance/Manuals/downloads/som107ap_pp_guidelines_ltcf.pdf</w:t>
        </w:r>
      </w:hyperlink>
    </w:p>
    <w:p w14:paraId="7A288B9C" w14:textId="77777777" w:rsidR="00DA0F48" w:rsidRDefault="00DA0F48" w:rsidP="00DA0F48">
      <w:pPr>
        <w:pStyle w:val="FootnoteText"/>
      </w:pPr>
      <w:r>
        <w:t xml:space="preserve">  </w:t>
      </w:r>
    </w:p>
    <w:p w14:paraId="5EA84183" w14:textId="77777777" w:rsidR="00C84D68" w:rsidRPr="00147FB7" w:rsidRDefault="00C84D68" w:rsidP="00C84D68">
      <w:pPr>
        <w:pStyle w:val="NoSpacing"/>
        <w:rPr>
          <w:rStyle w:val="Hyperlink"/>
          <w:rFonts w:asciiTheme="minorHAnsi" w:hAnsiTheme="minorHAnsi" w:cstheme="minorHAnsi"/>
          <w:sz w:val="22"/>
          <w:szCs w:val="22"/>
        </w:rPr>
      </w:pPr>
      <w:r w:rsidRPr="00147FB7">
        <w:rPr>
          <w:rFonts w:asciiTheme="minorHAnsi" w:hAnsiTheme="minorHAnsi" w:cstheme="minorHAnsi"/>
          <w:sz w:val="22"/>
          <w:szCs w:val="22"/>
        </w:rPr>
        <w:t xml:space="preserve">Centers for Medicare &amp; Medicaid Services Long-Term Care Facility Resident Assessment Instrument 3.0 User’s Manual, Version 1.16.  October 2018:  </w:t>
      </w:r>
      <w:hyperlink r:id="rId9" w:history="1">
        <w:r w:rsidRPr="00147FB7">
          <w:rPr>
            <w:rStyle w:val="Hyperlink"/>
            <w:rFonts w:asciiTheme="minorHAnsi" w:hAnsiTheme="minorHAnsi" w:cstheme="minorHAnsi"/>
            <w:sz w:val="22"/>
            <w:szCs w:val="22"/>
          </w:rPr>
          <w:t>https://www.cms.gov/Medicare/Quality-Initiatives-Patient-Assessment-Instruments/NursingHomeQualityInits/MDS30RAIManual.html</w:t>
        </w:r>
      </w:hyperlink>
    </w:p>
    <w:p w14:paraId="77E62E9B" w14:textId="77777777" w:rsidR="00C84D68" w:rsidRPr="00147FB7" w:rsidRDefault="00C84D68" w:rsidP="00C84D68">
      <w:pPr>
        <w:pStyle w:val="NoSpacing"/>
        <w:rPr>
          <w:rStyle w:val="Hyperlink"/>
          <w:rFonts w:asciiTheme="minorHAnsi" w:hAnsiTheme="minorHAnsi" w:cstheme="minorHAnsi"/>
          <w:sz w:val="22"/>
          <w:szCs w:val="22"/>
        </w:rPr>
      </w:pPr>
    </w:p>
    <w:p w14:paraId="5496DF5A" w14:textId="77777777" w:rsidR="00C84D68" w:rsidRPr="00147FB7" w:rsidRDefault="00C84D68" w:rsidP="00C84D68">
      <w:pPr>
        <w:pStyle w:val="NoSpacing"/>
        <w:rPr>
          <w:rFonts w:asciiTheme="minorHAnsi" w:hAnsiTheme="minorHAnsi" w:cstheme="minorHAnsi"/>
          <w:sz w:val="22"/>
          <w:szCs w:val="22"/>
        </w:rPr>
      </w:pPr>
      <w:bookmarkStart w:id="0" w:name="_Hlk1224508"/>
      <w:r w:rsidRPr="00147FB7">
        <w:rPr>
          <w:rFonts w:asciiTheme="minorHAnsi" w:hAnsiTheme="minorHAnsi" w:cstheme="minorHAnsi"/>
          <w:sz w:val="22"/>
          <w:szCs w:val="22"/>
        </w:rPr>
        <w:t>LTC Survey Pathways (Download)</w:t>
      </w:r>
    </w:p>
    <w:p w14:paraId="3B036107" w14:textId="77777777" w:rsidR="00C84D68" w:rsidRPr="00147FB7" w:rsidRDefault="00000000" w:rsidP="00C84D68">
      <w:pPr>
        <w:pStyle w:val="NoSpacing"/>
        <w:rPr>
          <w:rStyle w:val="Hyperlink"/>
          <w:rFonts w:asciiTheme="minorHAnsi" w:hAnsiTheme="minorHAnsi" w:cstheme="minorHAnsi"/>
          <w:sz w:val="22"/>
          <w:szCs w:val="22"/>
        </w:rPr>
      </w:pPr>
      <w:hyperlink r:id="rId10" w:history="1">
        <w:r w:rsidR="00C84D68" w:rsidRPr="00147FB7">
          <w:rPr>
            <w:rStyle w:val="Hyperlink"/>
            <w:rFonts w:asciiTheme="minorHAnsi" w:hAnsiTheme="minorHAnsi" w:cstheme="minorHAnsi"/>
            <w:sz w:val="22"/>
            <w:szCs w:val="22"/>
          </w:rPr>
          <w:t>https://www.cms.gov/medicare/provider-enrollment-and-certification/guidanceforlawsandregulations/nursing-homes.html</w:t>
        </w:r>
      </w:hyperlink>
      <w:bookmarkEnd w:id="0"/>
    </w:p>
    <w:p w14:paraId="6F859E29" w14:textId="77777777" w:rsidR="00AD3219" w:rsidRPr="00AD3219" w:rsidRDefault="00AD3219" w:rsidP="00CF1FC8">
      <w:pPr>
        <w:rPr>
          <w:rFonts w:ascii="Calibri" w:hAnsi="Calibri" w:cs="Calibri"/>
          <w:sz w:val="22"/>
          <w:szCs w:val="22"/>
        </w:rPr>
      </w:pPr>
    </w:p>
    <w:sectPr w:rsidR="00AD3219" w:rsidRPr="00AD3219"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9F51" w14:textId="77777777" w:rsidR="00D158E6" w:rsidRDefault="00D158E6" w:rsidP="00FE158D">
      <w:r>
        <w:separator/>
      </w:r>
    </w:p>
  </w:endnote>
  <w:endnote w:type="continuationSeparator" w:id="0">
    <w:p w14:paraId="1EB88C69" w14:textId="77777777" w:rsidR="00D158E6" w:rsidRDefault="00D158E6"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840B" w14:textId="77777777" w:rsidR="00D158E6" w:rsidRDefault="00D158E6" w:rsidP="00FE158D">
      <w:r>
        <w:separator/>
      </w:r>
    </w:p>
  </w:footnote>
  <w:footnote w:type="continuationSeparator" w:id="0">
    <w:p w14:paraId="2218F2E5" w14:textId="77777777" w:rsidR="00D158E6" w:rsidRDefault="00D158E6"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BD44B14"/>
    <w:multiLevelType w:val="hybridMultilevel"/>
    <w:tmpl w:val="FB1A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5"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6770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94778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2640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04744">
    <w:abstractNumId w:val="5"/>
  </w:num>
  <w:num w:numId="5" w16cid:durableId="6943848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66136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72807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2967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213034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40916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099353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75869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35293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2523317">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712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3772152">
    <w:abstractNumId w:val="20"/>
  </w:num>
  <w:num w:numId="17" w16cid:durableId="1729378364">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9214491">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591767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119060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87915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1036210">
    <w:abstractNumId w:val="27"/>
  </w:num>
  <w:num w:numId="23" w16cid:durableId="2125074334">
    <w:abstractNumId w:val="37"/>
  </w:num>
  <w:num w:numId="24" w16cid:durableId="543323365">
    <w:abstractNumId w:val="15"/>
  </w:num>
  <w:num w:numId="25" w16cid:durableId="444807929">
    <w:abstractNumId w:val="25"/>
  </w:num>
  <w:num w:numId="26" w16cid:durableId="2010280540">
    <w:abstractNumId w:val="21"/>
  </w:num>
  <w:num w:numId="27" w16cid:durableId="1971741154">
    <w:abstractNumId w:val="26"/>
  </w:num>
  <w:num w:numId="28" w16cid:durableId="1173178582">
    <w:abstractNumId w:val="13"/>
  </w:num>
  <w:num w:numId="29" w16cid:durableId="1199397953">
    <w:abstractNumId w:val="30"/>
  </w:num>
  <w:num w:numId="30" w16cid:durableId="1588660248">
    <w:abstractNumId w:val="28"/>
  </w:num>
  <w:num w:numId="31" w16cid:durableId="1510631661">
    <w:abstractNumId w:val="42"/>
  </w:num>
  <w:num w:numId="32" w16cid:durableId="1802338142">
    <w:abstractNumId w:val="31"/>
  </w:num>
  <w:num w:numId="33" w16cid:durableId="1190802765">
    <w:abstractNumId w:val="1"/>
  </w:num>
  <w:num w:numId="34" w16cid:durableId="647586694">
    <w:abstractNumId w:val="34"/>
  </w:num>
  <w:num w:numId="35" w16cid:durableId="919408216">
    <w:abstractNumId w:val="12"/>
  </w:num>
  <w:num w:numId="36" w16cid:durableId="16839683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1119357">
    <w:abstractNumId w:val="40"/>
  </w:num>
  <w:num w:numId="38" w16cid:durableId="62147405">
    <w:abstractNumId w:val="18"/>
  </w:num>
  <w:num w:numId="39" w16cid:durableId="691104378">
    <w:abstractNumId w:val="4"/>
  </w:num>
  <w:num w:numId="40" w16cid:durableId="331371493">
    <w:abstractNumId w:val="3"/>
  </w:num>
  <w:num w:numId="41" w16cid:durableId="1024787671">
    <w:abstractNumId w:val="6"/>
  </w:num>
  <w:num w:numId="42" w16cid:durableId="666246748">
    <w:abstractNumId w:val="45"/>
  </w:num>
  <w:num w:numId="43" w16cid:durableId="2065374788">
    <w:abstractNumId w:val="39"/>
  </w:num>
  <w:num w:numId="44" w16cid:durableId="11613158">
    <w:abstractNumId w:val="41"/>
  </w:num>
  <w:num w:numId="45" w16cid:durableId="1305433800">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E4C9D"/>
    <w:rsid w:val="002376A2"/>
    <w:rsid w:val="00257E7E"/>
    <w:rsid w:val="0027488D"/>
    <w:rsid w:val="002B6A29"/>
    <w:rsid w:val="002C5F29"/>
    <w:rsid w:val="002F2B8A"/>
    <w:rsid w:val="003011C7"/>
    <w:rsid w:val="00301AA8"/>
    <w:rsid w:val="00372DF7"/>
    <w:rsid w:val="00373CF0"/>
    <w:rsid w:val="003A3E8D"/>
    <w:rsid w:val="003B0939"/>
    <w:rsid w:val="003D1AFC"/>
    <w:rsid w:val="003F0C77"/>
    <w:rsid w:val="00456C2D"/>
    <w:rsid w:val="00484844"/>
    <w:rsid w:val="004C2F6B"/>
    <w:rsid w:val="004E7603"/>
    <w:rsid w:val="004F3233"/>
    <w:rsid w:val="00534CAA"/>
    <w:rsid w:val="0053732B"/>
    <w:rsid w:val="005438CB"/>
    <w:rsid w:val="00593E4B"/>
    <w:rsid w:val="005F036A"/>
    <w:rsid w:val="006034EC"/>
    <w:rsid w:val="00603AC0"/>
    <w:rsid w:val="00605605"/>
    <w:rsid w:val="00610027"/>
    <w:rsid w:val="006338B1"/>
    <w:rsid w:val="00667EDF"/>
    <w:rsid w:val="006A3CC2"/>
    <w:rsid w:val="006B2ED2"/>
    <w:rsid w:val="007251EF"/>
    <w:rsid w:val="00783084"/>
    <w:rsid w:val="007A61F1"/>
    <w:rsid w:val="007B0035"/>
    <w:rsid w:val="007F26C3"/>
    <w:rsid w:val="00805910"/>
    <w:rsid w:val="008259FB"/>
    <w:rsid w:val="008805AE"/>
    <w:rsid w:val="008E7224"/>
    <w:rsid w:val="00904698"/>
    <w:rsid w:val="009073EC"/>
    <w:rsid w:val="009478FB"/>
    <w:rsid w:val="00951B77"/>
    <w:rsid w:val="009B7479"/>
    <w:rsid w:val="009C106D"/>
    <w:rsid w:val="009C583E"/>
    <w:rsid w:val="009F0488"/>
    <w:rsid w:val="00A039B0"/>
    <w:rsid w:val="00A25232"/>
    <w:rsid w:val="00A9460A"/>
    <w:rsid w:val="00AB677E"/>
    <w:rsid w:val="00AC0FC3"/>
    <w:rsid w:val="00AD3219"/>
    <w:rsid w:val="00B019EA"/>
    <w:rsid w:val="00B24FB4"/>
    <w:rsid w:val="00B576FB"/>
    <w:rsid w:val="00BB507F"/>
    <w:rsid w:val="00BF1EB5"/>
    <w:rsid w:val="00C0102E"/>
    <w:rsid w:val="00C170A5"/>
    <w:rsid w:val="00C42B78"/>
    <w:rsid w:val="00C70196"/>
    <w:rsid w:val="00C71D53"/>
    <w:rsid w:val="00C84D68"/>
    <w:rsid w:val="00CF1FC8"/>
    <w:rsid w:val="00D158E6"/>
    <w:rsid w:val="00DA0F48"/>
    <w:rsid w:val="00DB6D68"/>
    <w:rsid w:val="00DC40AB"/>
    <w:rsid w:val="00DE7AF9"/>
    <w:rsid w:val="00E42992"/>
    <w:rsid w:val="00E67E7C"/>
    <w:rsid w:val="00E72EBA"/>
    <w:rsid w:val="00E94EC6"/>
    <w:rsid w:val="00ED6153"/>
    <w:rsid w:val="00EF0A00"/>
    <w:rsid w:val="00F47C9A"/>
    <w:rsid w:val="00F62A0F"/>
    <w:rsid w:val="00F66A80"/>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4D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provider-enrollment-and-certification/guidanceforlawsandregulations/nursing-homes.html"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C9E5-CF83-485F-8FA0-5EB64E91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7</cp:revision>
  <dcterms:created xsi:type="dcterms:W3CDTF">2019-04-21T22:06:00Z</dcterms:created>
  <dcterms:modified xsi:type="dcterms:W3CDTF">2022-10-14T12:57:00Z</dcterms:modified>
</cp:coreProperties>
</file>