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F6E2"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58E34F4" wp14:editId="5B923B26">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E2DE8" w14:textId="77777777" w:rsidR="00AE44B6" w:rsidRPr="00AE44B6" w:rsidRDefault="00AE44B6" w:rsidP="00AE44B6">
                            <w:pPr>
                              <w:rPr>
                                <w:rFonts w:ascii="Calibri" w:hAnsi="Calibri"/>
                                <w:color w:val="FFFFFF" w:themeColor="background1"/>
                                <w:sz w:val="96"/>
                                <w:szCs w:val="96"/>
                              </w:rPr>
                            </w:pPr>
                            <w:r w:rsidRPr="00AE44B6">
                              <w:rPr>
                                <w:rFonts w:ascii="Calibri" w:hAnsi="Calibri"/>
                                <w:color w:val="FFFFFF" w:themeColor="background1"/>
                                <w:sz w:val="96"/>
                                <w:szCs w:val="96"/>
                              </w:rPr>
                              <w:t>Emergency Preparedness Toolkit</w:t>
                            </w:r>
                          </w:p>
                          <w:p w14:paraId="5359EC2C" w14:textId="45C2D4E5" w:rsidR="00301AA8" w:rsidRPr="00AE44B6" w:rsidRDefault="00301AA8" w:rsidP="00AE44B6">
                            <w:pPr>
                              <w:rPr>
                                <w:rFonts w:ascii="Calibri" w:hAnsi="Calibri"/>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8E34F4"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filled="f" stroked="f" strokeweight=".5pt">
                <v:textbox>
                  <w:txbxContent>
                    <w:p w14:paraId="5E6E2DE8" w14:textId="77777777" w:rsidR="00AE44B6" w:rsidRPr="00AE44B6" w:rsidRDefault="00AE44B6" w:rsidP="00AE44B6">
                      <w:pPr>
                        <w:rPr>
                          <w:rFonts w:ascii="Calibri" w:hAnsi="Calibri"/>
                          <w:color w:val="FFFFFF" w:themeColor="background1"/>
                          <w:sz w:val="96"/>
                          <w:szCs w:val="96"/>
                        </w:rPr>
                      </w:pPr>
                      <w:r w:rsidRPr="00AE44B6">
                        <w:rPr>
                          <w:rFonts w:ascii="Calibri" w:hAnsi="Calibri"/>
                          <w:color w:val="FFFFFF" w:themeColor="background1"/>
                          <w:sz w:val="96"/>
                          <w:szCs w:val="96"/>
                        </w:rPr>
                        <w:t>Emergency Preparedness Toolkit</w:t>
                      </w:r>
                    </w:p>
                    <w:p w14:paraId="5359EC2C" w14:textId="45C2D4E5" w:rsidR="00301AA8" w:rsidRPr="00AE44B6" w:rsidRDefault="00301AA8" w:rsidP="00AE44B6">
                      <w:pPr>
                        <w:rPr>
                          <w:rFonts w:ascii="Calibri" w:hAnsi="Calibri"/>
                          <w:color w:val="FFFFFF" w:themeColor="background1"/>
                          <w:sz w:val="96"/>
                          <w:szCs w:val="96"/>
                        </w:rPr>
                      </w:pPr>
                    </w:p>
                  </w:txbxContent>
                </v:textbox>
                <w10:wrap anchory="page"/>
              </v:shape>
            </w:pict>
          </mc:Fallback>
        </mc:AlternateContent>
      </w:r>
    </w:p>
    <w:p w14:paraId="3D8800A9" w14:textId="6A01DA88" w:rsidR="00DE7AF9" w:rsidRDefault="00484844" w:rsidP="00AE44B6">
      <w:pPr>
        <w:spacing w:after="160" w:line="259" w:lineRule="auto"/>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DD107B1" wp14:editId="620F737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9A56E" w14:textId="72C03EDA" w:rsidR="00484844" w:rsidRPr="00AE44B6" w:rsidRDefault="00AE44B6">
                            <w:pPr>
                              <w:rPr>
                                <w:rFonts w:asciiTheme="minorHAnsi" w:hAnsiTheme="minorHAnsi"/>
                                <w:color w:val="FFFFFF" w:themeColor="background1"/>
                                <w:sz w:val="72"/>
                                <w:szCs w:val="72"/>
                                <w14:textOutline w14:w="9525" w14:cap="rnd" w14:cmpd="sng" w14:algn="ctr">
                                  <w14:noFill/>
                                  <w14:prstDash w14:val="solid"/>
                                  <w14:bevel/>
                                </w14:textOutline>
                              </w:rPr>
                            </w:pPr>
                            <w:r w:rsidRPr="00AE44B6">
                              <w:rPr>
                                <w:rFonts w:asciiTheme="minorHAnsi" w:hAnsiTheme="minorHAnsi"/>
                                <w:color w:val="FFFFFF" w:themeColor="background1"/>
                                <w:sz w:val="72"/>
                                <w:szCs w:val="72"/>
                                <w14:textOutline w14:w="9525" w14:cap="rnd" w14:cmpd="sng" w14:algn="ctr">
                                  <w14:noFill/>
                                  <w14:prstDash w14:val="solid"/>
                                  <w14:bevel/>
                                </w14:textOutline>
                              </w:rPr>
                              <w:t xml:space="preserve">Introduction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107B1" id="Text Box 5" o:spid="_x0000_s1027" type="#_x0000_t202" style="position:absolute;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5CB9A56E" w14:textId="72C03EDA" w:rsidR="00484844" w:rsidRPr="00AE44B6" w:rsidRDefault="00AE44B6">
                      <w:pPr>
                        <w:rPr>
                          <w:rFonts w:asciiTheme="minorHAnsi" w:hAnsiTheme="minorHAnsi"/>
                          <w:color w:val="FFFFFF" w:themeColor="background1"/>
                          <w:sz w:val="72"/>
                          <w:szCs w:val="72"/>
                          <w14:textOutline w14:w="9525" w14:cap="rnd" w14:cmpd="sng" w14:algn="ctr">
                            <w14:noFill/>
                            <w14:prstDash w14:val="solid"/>
                            <w14:bevel/>
                          </w14:textOutline>
                        </w:rPr>
                      </w:pPr>
                      <w:r w:rsidRPr="00AE44B6">
                        <w:rPr>
                          <w:rFonts w:asciiTheme="minorHAnsi" w:hAnsiTheme="minorHAnsi"/>
                          <w:color w:val="FFFFFF" w:themeColor="background1"/>
                          <w:sz w:val="72"/>
                          <w:szCs w:val="72"/>
                          <w14:textOutline w14:w="9525" w14:cap="rnd" w14:cmpd="sng" w14:algn="ctr">
                            <w14:noFill/>
                            <w14:prstDash w14:val="solid"/>
                            <w14:bevel/>
                          </w14:textOutline>
                        </w:rPr>
                        <w:t xml:space="preserve">Introduction </w:t>
                      </w:r>
                    </w:p>
                  </w:txbxContent>
                </v:textbox>
              </v:shape>
            </w:pict>
          </mc:Fallback>
        </mc:AlternateContent>
      </w:r>
      <w:r w:rsidR="00DE7AF9">
        <w:rPr>
          <w:rFonts w:ascii="Calibri" w:hAnsi="Calibri"/>
          <w:b/>
          <w:sz w:val="32"/>
        </w:rPr>
        <w:br w:type="page"/>
      </w:r>
    </w:p>
    <w:p w14:paraId="29DCDBAC" w14:textId="77777777" w:rsidR="00AE44B6" w:rsidRPr="00CF1D85" w:rsidRDefault="00AE44B6" w:rsidP="00AE44B6">
      <w:pPr>
        <w:pStyle w:val="NoSpacing"/>
        <w:jc w:val="center"/>
        <w:rPr>
          <w:rFonts w:ascii="Calibri" w:hAnsi="Calibri" w:cs="Calibri"/>
          <w:b/>
          <w:sz w:val="28"/>
          <w:szCs w:val="28"/>
        </w:rPr>
      </w:pPr>
      <w:r w:rsidRPr="00CF1D85">
        <w:rPr>
          <w:rFonts w:ascii="Calibri" w:hAnsi="Calibri" w:cs="Calibri"/>
          <w:b/>
          <w:sz w:val="28"/>
          <w:szCs w:val="28"/>
        </w:rPr>
        <w:lastRenderedPageBreak/>
        <w:t>Emergency Preparedness Toolkit</w:t>
      </w:r>
    </w:p>
    <w:p w14:paraId="18E42C54" w14:textId="77777777" w:rsidR="00AE44B6" w:rsidRPr="00CF1D85" w:rsidRDefault="00AE44B6" w:rsidP="00AE44B6">
      <w:pPr>
        <w:pStyle w:val="NoSpacing"/>
        <w:jc w:val="center"/>
        <w:rPr>
          <w:rFonts w:ascii="Calibri" w:hAnsi="Calibri" w:cs="Calibri"/>
          <w:b/>
          <w:sz w:val="28"/>
          <w:szCs w:val="28"/>
        </w:rPr>
      </w:pPr>
      <w:r w:rsidRPr="00CF1D85">
        <w:rPr>
          <w:rFonts w:ascii="Calibri" w:hAnsi="Calibri" w:cs="Calibri"/>
          <w:b/>
          <w:sz w:val="28"/>
          <w:szCs w:val="28"/>
        </w:rPr>
        <w:t>Introduction</w:t>
      </w:r>
    </w:p>
    <w:p w14:paraId="04855A00" w14:textId="77777777" w:rsidR="00AE44B6" w:rsidRPr="00CF1D85" w:rsidRDefault="00AE44B6" w:rsidP="00AE44B6">
      <w:pPr>
        <w:pStyle w:val="NoSpacing"/>
        <w:rPr>
          <w:rFonts w:ascii="Calibri" w:hAnsi="Calibri" w:cs="Calibri"/>
          <w:sz w:val="24"/>
          <w:szCs w:val="24"/>
        </w:rPr>
      </w:pPr>
    </w:p>
    <w:p w14:paraId="531DF7FD" w14:textId="021D4F96" w:rsidR="00AE44B6" w:rsidRPr="00CF1D85" w:rsidRDefault="00AE44B6" w:rsidP="00AE44B6">
      <w:pPr>
        <w:pStyle w:val="NoSpacing"/>
        <w:rPr>
          <w:rFonts w:ascii="Calibri" w:hAnsi="Calibri" w:cs="Calibri"/>
          <w:sz w:val="24"/>
          <w:szCs w:val="24"/>
        </w:rPr>
      </w:pPr>
      <w:r w:rsidRPr="00CF1D85">
        <w:rPr>
          <w:rFonts w:ascii="Calibri" w:hAnsi="Calibri" w:cs="Calibri"/>
          <w:sz w:val="24"/>
          <w:szCs w:val="24"/>
        </w:rPr>
        <w:t xml:space="preserve">Welcome to the Emergency Preparedness Toolkit for long term care facilities.   As providers of post-acute care, very high priority is given to the lives and safety of residents, staff, and community members during natural, man-made, and technical hazard situations.  Fire safety drills and weather-related drills are common within our facilities, but </w:t>
      </w:r>
      <w:r>
        <w:rPr>
          <w:rFonts w:ascii="Calibri" w:hAnsi="Calibri" w:cs="Calibri"/>
          <w:sz w:val="24"/>
          <w:szCs w:val="24"/>
        </w:rPr>
        <w:t xml:space="preserve">preparedness for a multitude of disasters and corresponding </w:t>
      </w:r>
      <w:r w:rsidRPr="00CF1D85">
        <w:rPr>
          <w:rFonts w:ascii="Calibri" w:hAnsi="Calibri" w:cs="Calibri"/>
          <w:sz w:val="24"/>
          <w:szCs w:val="24"/>
        </w:rPr>
        <w:t xml:space="preserve">drills focusing on the modern-day realities of </w:t>
      </w:r>
      <w:r>
        <w:rPr>
          <w:rFonts w:ascii="Calibri" w:hAnsi="Calibri" w:cs="Calibri"/>
          <w:sz w:val="24"/>
          <w:szCs w:val="24"/>
        </w:rPr>
        <w:t xml:space="preserve">emergencies such as </w:t>
      </w:r>
      <w:r w:rsidRPr="00CF1D85">
        <w:rPr>
          <w:rFonts w:ascii="Calibri" w:hAnsi="Calibri" w:cs="Calibri"/>
          <w:sz w:val="24"/>
          <w:szCs w:val="24"/>
        </w:rPr>
        <w:t xml:space="preserve">an active shooter, </w:t>
      </w:r>
      <w:r>
        <w:rPr>
          <w:rFonts w:ascii="Calibri" w:hAnsi="Calibri" w:cs="Calibri"/>
          <w:sz w:val="24"/>
          <w:szCs w:val="24"/>
        </w:rPr>
        <w:t xml:space="preserve">pandemic, </w:t>
      </w:r>
      <w:r w:rsidRPr="00CF1D85">
        <w:rPr>
          <w:rFonts w:ascii="Calibri" w:hAnsi="Calibri" w:cs="Calibri"/>
          <w:sz w:val="24"/>
          <w:szCs w:val="24"/>
        </w:rPr>
        <w:t xml:space="preserve">or a wide-spread infection are </w:t>
      </w:r>
      <w:r>
        <w:rPr>
          <w:rFonts w:ascii="Calibri" w:hAnsi="Calibri" w:cs="Calibri"/>
          <w:sz w:val="24"/>
          <w:szCs w:val="24"/>
        </w:rPr>
        <w:t>some of many emergencies or disasters that a facility must prepare for</w:t>
      </w:r>
      <w:r w:rsidRPr="00CF1D85">
        <w:rPr>
          <w:rFonts w:ascii="Calibri" w:hAnsi="Calibri" w:cs="Calibri"/>
          <w:sz w:val="24"/>
          <w:szCs w:val="24"/>
        </w:rPr>
        <w:t>.</w:t>
      </w:r>
    </w:p>
    <w:p w14:paraId="28C268E8" w14:textId="77777777" w:rsidR="00AE44B6" w:rsidRPr="00CF1D85" w:rsidRDefault="00AE44B6" w:rsidP="00AE44B6">
      <w:pPr>
        <w:pStyle w:val="NoSpacing"/>
        <w:rPr>
          <w:rFonts w:ascii="Calibri" w:hAnsi="Calibri" w:cs="Calibri"/>
          <w:sz w:val="24"/>
          <w:szCs w:val="24"/>
        </w:rPr>
      </w:pPr>
    </w:p>
    <w:p w14:paraId="28D0CC61" w14:textId="1DA8F1BA" w:rsidR="00AE44B6" w:rsidRPr="00AE44B6" w:rsidRDefault="00AE44B6" w:rsidP="00AE44B6">
      <w:pPr>
        <w:pStyle w:val="NoSpacing"/>
        <w:rPr>
          <w:rFonts w:cstheme="minorHAnsi"/>
          <w:color w:val="000000"/>
          <w:sz w:val="24"/>
          <w:szCs w:val="24"/>
        </w:rPr>
      </w:pPr>
      <w:r w:rsidRPr="00AE44B6">
        <w:rPr>
          <w:rFonts w:cstheme="minorHAnsi"/>
          <w:color w:val="000000"/>
          <w:sz w:val="24"/>
          <w:szCs w:val="24"/>
        </w:rPr>
        <w:t xml:space="preserve">On September 8, </w:t>
      </w:r>
      <w:proofErr w:type="gramStart"/>
      <w:r w:rsidRPr="00AE44B6">
        <w:rPr>
          <w:rFonts w:cstheme="minorHAnsi"/>
          <w:color w:val="000000"/>
          <w:sz w:val="24"/>
          <w:szCs w:val="24"/>
        </w:rPr>
        <w:t>2016</w:t>
      </w:r>
      <w:proofErr w:type="gramEnd"/>
      <w:r w:rsidRPr="00AE44B6">
        <w:rPr>
          <w:rFonts w:cstheme="minorHAnsi"/>
          <w:color w:val="000000"/>
          <w:sz w:val="24"/>
          <w:szCs w:val="24"/>
        </w:rPr>
        <w:t xml:space="preserve"> CMS published in the Federal Register the </w:t>
      </w:r>
      <w:r w:rsidRPr="00AE44B6">
        <w:rPr>
          <w:rStyle w:val="Emphasis"/>
          <w:rFonts w:cstheme="minorHAnsi"/>
          <w:color w:val="000000"/>
          <w:sz w:val="24"/>
          <w:szCs w:val="24"/>
        </w:rPr>
        <w:t>Emergency Preparedness Requirements for Medicare and Medicaid Participating Providers and Suppliers Final Rule. </w:t>
      </w:r>
      <w:r w:rsidRPr="00AE44B6">
        <w:rPr>
          <w:rFonts w:cstheme="minorHAnsi"/>
          <w:color w:val="000000"/>
          <w:sz w:val="24"/>
          <w:szCs w:val="24"/>
        </w:rPr>
        <w:t xml:space="preserve">The regulation became effective November 16, 2016. Health care providers and suppliers affected by this rule were to be compliant and implement all regulations one year after the effective date, on November 15, 2017. (CMS Emergency Preparedness Rule) </w:t>
      </w:r>
    </w:p>
    <w:p w14:paraId="214CFEFD" w14:textId="77777777" w:rsidR="00AE44B6" w:rsidRPr="00CF1D85" w:rsidRDefault="00AE44B6" w:rsidP="00AE44B6">
      <w:pPr>
        <w:pStyle w:val="NoSpacing"/>
        <w:rPr>
          <w:rFonts w:ascii="Calibri" w:hAnsi="Calibri" w:cs="Calibri"/>
          <w:sz w:val="24"/>
          <w:szCs w:val="24"/>
        </w:rPr>
      </w:pPr>
    </w:p>
    <w:p w14:paraId="6D3D758F" w14:textId="77777777" w:rsidR="00AE44B6" w:rsidRPr="00CF1D85" w:rsidRDefault="00AE44B6" w:rsidP="00AE44B6">
      <w:pPr>
        <w:pStyle w:val="NoSpacing"/>
        <w:rPr>
          <w:rFonts w:ascii="Calibri" w:hAnsi="Calibri" w:cs="Calibri"/>
          <w:sz w:val="24"/>
          <w:szCs w:val="24"/>
        </w:rPr>
      </w:pPr>
      <w:r w:rsidRPr="00CF1D85">
        <w:rPr>
          <w:rFonts w:ascii="Calibri" w:hAnsi="Calibri" w:cs="Calibri"/>
          <w:sz w:val="24"/>
          <w:szCs w:val="24"/>
        </w:rPr>
        <w:t>In February 2019, CMS added “emerging infectious diseases” (EID) to the definition of all-hazards approach in Appendix Z. CMS determined it was critical for facilities to include planning for infectious diseases within their emergency preparedness program.</w:t>
      </w:r>
    </w:p>
    <w:p w14:paraId="661F0358" w14:textId="77777777" w:rsidR="00CC76BD" w:rsidRDefault="00AE44B6" w:rsidP="00CC76BD">
      <w:pPr>
        <w:pStyle w:val="NormalWeb"/>
        <w:spacing w:before="240" w:beforeAutospacing="0" w:after="240" w:afterAutospacing="0"/>
        <w:rPr>
          <w:rFonts w:asciiTheme="minorHAnsi" w:eastAsia="Times New Roman" w:hAnsiTheme="minorHAnsi" w:cstheme="minorHAnsi"/>
          <w:color w:val="000000"/>
        </w:rPr>
      </w:pPr>
      <w:r w:rsidRPr="00CC76BD">
        <w:rPr>
          <w:rFonts w:asciiTheme="minorHAnsi" w:hAnsiTheme="minorHAnsi" w:cstheme="minorHAnsi"/>
        </w:rPr>
        <w:t xml:space="preserve">The “Burden Reduction Final Rule” was issued in September 2019 and was implemented November 29, 2019. </w:t>
      </w:r>
      <w:r w:rsidR="00CC76BD" w:rsidRPr="00CC76BD">
        <w:rPr>
          <w:rFonts w:asciiTheme="minorHAnsi" w:hAnsiTheme="minorHAnsi" w:cstheme="minorHAnsi"/>
        </w:rPr>
        <w:t xml:space="preserve">  The purpose of the Rule was to </w:t>
      </w:r>
      <w:r w:rsidR="00CC76BD" w:rsidRPr="00CC76BD">
        <w:rPr>
          <w:rFonts w:asciiTheme="minorHAnsi" w:eastAsia="Times New Roman" w:hAnsiTheme="minorHAnsi" w:cstheme="minorHAnsi"/>
          <w:color w:val="000000"/>
        </w:rPr>
        <w:t xml:space="preserve">stablish national emergency preparedness requirements to ensure adequate planning for both natural and man-made disasters, and coordination with federal, state, tribal, regional and local emergency preparedness systems. </w:t>
      </w:r>
    </w:p>
    <w:p w14:paraId="355035C2" w14:textId="29D3DF02" w:rsidR="00CC76BD" w:rsidRPr="00CC76BD" w:rsidRDefault="00CC76BD" w:rsidP="00CC76BD">
      <w:pPr>
        <w:pStyle w:val="NormalWeb"/>
        <w:spacing w:before="240" w:beforeAutospacing="0" w:after="240" w:afterAutospacing="0"/>
        <w:rPr>
          <w:rFonts w:asciiTheme="minorHAnsi" w:eastAsia="Times New Roman" w:hAnsiTheme="minorHAnsi" w:cstheme="minorHAnsi"/>
          <w:color w:val="000000"/>
        </w:rPr>
      </w:pPr>
      <w:r w:rsidRPr="00CC76BD">
        <w:rPr>
          <w:rFonts w:asciiTheme="minorHAnsi" w:eastAsia="Times New Roman" w:hAnsiTheme="minorHAnsi" w:cstheme="minorHAnsi"/>
          <w:color w:val="000000"/>
        </w:rPr>
        <w:t xml:space="preserve">The following information </w:t>
      </w:r>
      <w:r>
        <w:rPr>
          <w:rFonts w:asciiTheme="minorHAnsi" w:eastAsia="Times New Roman" w:hAnsiTheme="minorHAnsi" w:cstheme="minorHAnsi"/>
          <w:color w:val="000000"/>
        </w:rPr>
        <w:t>is now in effect</w:t>
      </w:r>
      <w:r w:rsidRPr="00CC76BD">
        <w:rPr>
          <w:rFonts w:asciiTheme="minorHAnsi" w:eastAsia="Times New Roman" w:hAnsiTheme="minorHAnsi" w:cstheme="minorHAnsi"/>
          <w:color w:val="000000"/>
        </w:rPr>
        <w:t xml:space="preserve"> upon publication of the final rule:</w:t>
      </w:r>
    </w:p>
    <w:p w14:paraId="612B1291" w14:textId="6DBCDFC1" w:rsidR="00CC76BD" w:rsidRPr="00CC76BD" w:rsidRDefault="00CC76BD" w:rsidP="00CC76BD">
      <w:pPr>
        <w:numPr>
          <w:ilvl w:val="0"/>
          <w:numId w:val="34"/>
        </w:numPr>
        <w:spacing w:before="100" w:beforeAutospacing="1" w:after="120"/>
        <w:rPr>
          <w:rFonts w:asciiTheme="minorHAnsi" w:hAnsiTheme="minorHAnsi" w:cstheme="minorHAnsi"/>
          <w:color w:val="000000"/>
          <w:szCs w:val="24"/>
        </w:rPr>
      </w:pPr>
      <w:r>
        <w:rPr>
          <w:rFonts w:asciiTheme="minorHAnsi" w:hAnsiTheme="minorHAnsi" w:cstheme="minorHAnsi"/>
          <w:color w:val="000000"/>
          <w:szCs w:val="24"/>
        </w:rPr>
        <w:t xml:space="preserve">The </w:t>
      </w:r>
      <w:r w:rsidRPr="00CC76BD">
        <w:rPr>
          <w:rFonts w:asciiTheme="minorHAnsi" w:hAnsiTheme="minorHAnsi" w:cstheme="minorHAnsi"/>
          <w:color w:val="000000"/>
          <w:szCs w:val="24"/>
        </w:rPr>
        <w:t>Requirements will apply to all 17 provider and supplier types.</w:t>
      </w:r>
    </w:p>
    <w:p w14:paraId="72E72561" w14:textId="07538797" w:rsidR="00CC76BD" w:rsidRPr="00CC76BD" w:rsidRDefault="00CC76BD" w:rsidP="00CC76BD">
      <w:pPr>
        <w:pStyle w:val="NoSpacing"/>
        <w:numPr>
          <w:ilvl w:val="1"/>
          <w:numId w:val="34"/>
        </w:numPr>
        <w:rPr>
          <w:rFonts w:cstheme="minorHAnsi"/>
          <w:sz w:val="24"/>
          <w:szCs w:val="24"/>
        </w:rPr>
      </w:pPr>
      <w:r w:rsidRPr="00CC76BD">
        <w:rPr>
          <w:rFonts w:cstheme="minorHAnsi"/>
          <w:sz w:val="24"/>
          <w:szCs w:val="24"/>
        </w:rPr>
        <w:t>Sixteen of the 17 health care providers had the frequency of reviewing their emergency preparedness plan reduced from annually to every 2 years. The only health care provider required to complete an annual review was long term care facilities.</w:t>
      </w:r>
    </w:p>
    <w:p w14:paraId="4C741C44" w14:textId="77777777" w:rsidR="00CC76BD" w:rsidRPr="00CC76BD" w:rsidRDefault="00CC76BD" w:rsidP="00CC76BD">
      <w:pPr>
        <w:numPr>
          <w:ilvl w:val="0"/>
          <w:numId w:val="34"/>
        </w:numPr>
        <w:spacing w:before="100" w:beforeAutospacing="1" w:after="120"/>
        <w:rPr>
          <w:rFonts w:asciiTheme="minorHAnsi" w:hAnsiTheme="minorHAnsi" w:cstheme="minorHAnsi"/>
          <w:color w:val="000000"/>
          <w:szCs w:val="24"/>
        </w:rPr>
      </w:pPr>
      <w:r w:rsidRPr="00CC76BD">
        <w:rPr>
          <w:rFonts w:asciiTheme="minorHAnsi" w:hAnsiTheme="minorHAnsi" w:cstheme="minorHAnsi"/>
          <w:color w:val="000000"/>
          <w:szCs w:val="24"/>
        </w:rPr>
        <w:t>Each provider and supplier will have its own set of Emergency Preparedness regulations incorporated into its set of conditions or requirements for certification.</w:t>
      </w:r>
    </w:p>
    <w:p w14:paraId="1D6D4382" w14:textId="77777777" w:rsidR="00CC76BD" w:rsidRPr="00CC76BD" w:rsidRDefault="00CC76BD" w:rsidP="00CC76BD">
      <w:pPr>
        <w:numPr>
          <w:ilvl w:val="0"/>
          <w:numId w:val="34"/>
        </w:numPr>
        <w:spacing w:before="100" w:beforeAutospacing="1"/>
        <w:rPr>
          <w:rFonts w:asciiTheme="minorHAnsi" w:hAnsiTheme="minorHAnsi" w:cstheme="minorHAnsi"/>
          <w:color w:val="000000"/>
          <w:szCs w:val="24"/>
        </w:rPr>
      </w:pPr>
      <w:r w:rsidRPr="00CC76BD">
        <w:rPr>
          <w:rFonts w:asciiTheme="minorHAnsi" w:hAnsiTheme="minorHAnsi" w:cstheme="minorHAnsi"/>
          <w:color w:val="000000"/>
          <w:szCs w:val="24"/>
        </w:rPr>
        <w:t xml:space="preserve">Must </w:t>
      </w:r>
      <w:proofErr w:type="gramStart"/>
      <w:r w:rsidRPr="00CC76BD">
        <w:rPr>
          <w:rFonts w:asciiTheme="minorHAnsi" w:hAnsiTheme="minorHAnsi" w:cstheme="minorHAnsi"/>
          <w:color w:val="000000"/>
          <w:szCs w:val="24"/>
        </w:rPr>
        <w:t>be in compliance with</w:t>
      </w:r>
      <w:proofErr w:type="gramEnd"/>
      <w:r w:rsidRPr="00CC76BD">
        <w:rPr>
          <w:rFonts w:asciiTheme="minorHAnsi" w:hAnsiTheme="minorHAnsi" w:cstheme="minorHAnsi"/>
          <w:color w:val="000000"/>
          <w:szCs w:val="24"/>
        </w:rPr>
        <w:t xml:space="preserve"> Emergency Preparedness regulations to participate in the Medicare or Medicaid program. The below downloadable sections will provide additional information, such as the background and overview of the final rule and related resources.</w:t>
      </w:r>
    </w:p>
    <w:p w14:paraId="590C2316" w14:textId="03C38DCC" w:rsidR="00CC76BD" w:rsidRPr="00CC76BD" w:rsidRDefault="00CC76BD" w:rsidP="00AE44B6">
      <w:pPr>
        <w:pStyle w:val="NoSpacing"/>
        <w:rPr>
          <w:rFonts w:cstheme="minorHAnsi"/>
          <w:sz w:val="24"/>
          <w:szCs w:val="24"/>
        </w:rPr>
      </w:pPr>
    </w:p>
    <w:p w14:paraId="7E589536" w14:textId="5FADB03E" w:rsidR="00AE44B6" w:rsidRPr="00CF1D85" w:rsidRDefault="00AE44B6" w:rsidP="00AE44B6">
      <w:pPr>
        <w:pStyle w:val="NoSpacing"/>
        <w:rPr>
          <w:rFonts w:ascii="Calibri" w:hAnsi="Calibri" w:cs="Calibri"/>
          <w:sz w:val="24"/>
          <w:szCs w:val="24"/>
        </w:rPr>
      </w:pPr>
      <w:r w:rsidRPr="00CF1D85">
        <w:rPr>
          <w:rFonts w:ascii="Calibri" w:hAnsi="Calibri" w:cs="Calibri"/>
          <w:sz w:val="24"/>
          <w:szCs w:val="24"/>
        </w:rPr>
        <w:t xml:space="preserve">The COVID-19 Public Health Emergency (PHE) has brought </w:t>
      </w:r>
      <w:r>
        <w:rPr>
          <w:rFonts w:ascii="Calibri" w:hAnsi="Calibri" w:cs="Calibri"/>
          <w:sz w:val="24"/>
          <w:szCs w:val="24"/>
        </w:rPr>
        <w:t xml:space="preserve">a further need for emergency preparedness to be a priority in all health care settings.  Numerous updates to the Emergency Preparedness Rule were initiated </w:t>
      </w:r>
      <w:proofErr w:type="gramStart"/>
      <w:r>
        <w:rPr>
          <w:rFonts w:ascii="Calibri" w:hAnsi="Calibri" w:cs="Calibri"/>
          <w:sz w:val="24"/>
          <w:szCs w:val="24"/>
        </w:rPr>
        <w:t>as a result of</w:t>
      </w:r>
      <w:proofErr w:type="gramEnd"/>
      <w:r>
        <w:rPr>
          <w:rFonts w:ascii="Calibri" w:hAnsi="Calibri" w:cs="Calibri"/>
          <w:sz w:val="24"/>
          <w:szCs w:val="24"/>
        </w:rPr>
        <w:t xml:space="preserve"> the pandemic.  </w:t>
      </w:r>
    </w:p>
    <w:p w14:paraId="186BE5B8" w14:textId="77777777" w:rsidR="00AE44B6" w:rsidRPr="00CF1D85" w:rsidRDefault="00AE44B6" w:rsidP="00AE44B6">
      <w:pPr>
        <w:pStyle w:val="NoSpacing"/>
        <w:rPr>
          <w:rFonts w:ascii="Calibri" w:hAnsi="Calibri" w:cs="Calibri"/>
          <w:sz w:val="24"/>
          <w:szCs w:val="24"/>
        </w:rPr>
      </w:pPr>
    </w:p>
    <w:p w14:paraId="3009BD9A" w14:textId="77777777" w:rsidR="00CC76BD" w:rsidRPr="00CF1D85" w:rsidRDefault="00CC76BD" w:rsidP="00CC76BD">
      <w:pPr>
        <w:pStyle w:val="NoSpacing"/>
        <w:rPr>
          <w:rFonts w:ascii="Calibri" w:hAnsi="Calibri" w:cs="Calibri"/>
          <w:sz w:val="24"/>
          <w:szCs w:val="24"/>
        </w:rPr>
      </w:pPr>
      <w:r w:rsidRPr="00CF1D85">
        <w:rPr>
          <w:rFonts w:ascii="Calibri" w:hAnsi="Calibri" w:cs="Calibri"/>
          <w:sz w:val="24"/>
          <w:szCs w:val="24"/>
        </w:rPr>
        <w:t>Just as Health and Safety requirements have a set of F-tags and Life Safety Code (LSC) requirements have a set of K-Tags that are utilized for citations, the Emergency Preparedness requirements have a set of E-Tags.  State survey agencies have discretion as to whether Health and Safety or LSC surveyors will conduct the emergency preparedness surveys.</w:t>
      </w:r>
    </w:p>
    <w:p w14:paraId="3569A7A7" w14:textId="77777777" w:rsidR="00CC76BD" w:rsidRDefault="00CC76BD" w:rsidP="00AE44B6">
      <w:pPr>
        <w:pStyle w:val="NoSpacing"/>
        <w:rPr>
          <w:rFonts w:ascii="Calibri" w:hAnsi="Calibri" w:cs="Calibri"/>
          <w:sz w:val="24"/>
          <w:szCs w:val="24"/>
        </w:rPr>
      </w:pPr>
    </w:p>
    <w:p w14:paraId="75489BE6" w14:textId="00BB8854" w:rsidR="00AE44B6" w:rsidRPr="00CF1D85" w:rsidRDefault="00AE44B6" w:rsidP="00AE44B6">
      <w:pPr>
        <w:pStyle w:val="NoSpacing"/>
        <w:rPr>
          <w:rFonts w:ascii="Calibri" w:hAnsi="Calibri" w:cs="Calibri"/>
          <w:sz w:val="24"/>
          <w:szCs w:val="24"/>
        </w:rPr>
      </w:pPr>
      <w:r w:rsidRPr="00CF1D85">
        <w:rPr>
          <w:rFonts w:ascii="Calibri" w:hAnsi="Calibri" w:cs="Calibri"/>
          <w:sz w:val="24"/>
          <w:szCs w:val="24"/>
        </w:rPr>
        <w:t xml:space="preserve">Appendix Z requires long term care providers to demonstrate they have conducted a facility-specific risk assessment to identify potential hazards via an all-hazard approach; have written a detailed emergency preparedness plan; have established and revised as necessary policies and procedures; and have performed training and testing of the emergency preparedness plan with facility staff and partners in the community.    </w:t>
      </w:r>
    </w:p>
    <w:p w14:paraId="7D91C93A" w14:textId="77777777" w:rsidR="00AE44B6" w:rsidRPr="00CF1D85" w:rsidRDefault="00AE44B6" w:rsidP="00AE44B6">
      <w:pPr>
        <w:pStyle w:val="NoSpacing"/>
        <w:rPr>
          <w:rFonts w:ascii="Calibri" w:hAnsi="Calibri" w:cs="Calibri"/>
          <w:sz w:val="24"/>
          <w:szCs w:val="24"/>
        </w:rPr>
      </w:pPr>
    </w:p>
    <w:p w14:paraId="040CE3F5" w14:textId="77777777" w:rsidR="00AE44B6" w:rsidRPr="00CF1D85" w:rsidRDefault="00AE44B6" w:rsidP="00AE44B6">
      <w:pPr>
        <w:pStyle w:val="NoSpacing"/>
        <w:rPr>
          <w:rFonts w:ascii="Calibri" w:hAnsi="Calibri" w:cs="Calibri"/>
          <w:sz w:val="24"/>
          <w:szCs w:val="24"/>
        </w:rPr>
      </w:pPr>
      <w:r w:rsidRPr="00CF1D85">
        <w:rPr>
          <w:rFonts w:ascii="Calibri" w:hAnsi="Calibri" w:cs="Calibri"/>
          <w:sz w:val="24"/>
          <w:szCs w:val="24"/>
        </w:rPr>
        <w:t xml:space="preserve">The requirements are focused on three key essentials necessary for maintaining access to healthcare during disasters or emergencies: safeguarding human resources, maintaining business continuity, and protecting physical resources. </w:t>
      </w:r>
    </w:p>
    <w:p w14:paraId="7D91CE25" w14:textId="77777777" w:rsidR="00AE44B6" w:rsidRPr="00CF1D85" w:rsidRDefault="00AE44B6" w:rsidP="00AE44B6">
      <w:pPr>
        <w:pStyle w:val="NoSpacing"/>
        <w:rPr>
          <w:rFonts w:ascii="Calibri" w:hAnsi="Calibri" w:cs="Calibri"/>
        </w:rPr>
      </w:pPr>
    </w:p>
    <w:p w14:paraId="5D9E5EB8" w14:textId="77777777" w:rsidR="00AE44B6" w:rsidRPr="00CF1D85" w:rsidRDefault="00AE44B6" w:rsidP="00AE44B6">
      <w:pPr>
        <w:pStyle w:val="NoSpacing"/>
        <w:rPr>
          <w:rFonts w:ascii="Calibri" w:hAnsi="Calibri" w:cs="Calibri"/>
          <w:sz w:val="24"/>
          <w:szCs w:val="24"/>
        </w:rPr>
      </w:pPr>
      <w:r w:rsidRPr="00CF1D85">
        <w:rPr>
          <w:rFonts w:ascii="Calibri" w:hAnsi="Calibri" w:cs="Calibri"/>
          <w:sz w:val="24"/>
          <w:szCs w:val="24"/>
        </w:rPr>
        <w:t>The CMS final rule outlines 4 core elements of an Emergency Preparedness Program:</w:t>
      </w:r>
    </w:p>
    <w:p w14:paraId="1FA4ADA9" w14:textId="77777777" w:rsidR="00AE44B6" w:rsidRPr="00CF1D85" w:rsidRDefault="00AE44B6" w:rsidP="00AE44B6">
      <w:pPr>
        <w:pStyle w:val="NoSpacing"/>
        <w:rPr>
          <w:rFonts w:ascii="Calibri" w:hAnsi="Calibri" w:cs="Calibri"/>
          <w:sz w:val="24"/>
          <w:szCs w:val="24"/>
        </w:rPr>
      </w:pPr>
    </w:p>
    <w:p w14:paraId="0BA6E6B1" w14:textId="77777777" w:rsidR="00AE44B6" w:rsidRPr="00CF1D85" w:rsidRDefault="00AE44B6" w:rsidP="00AE44B6">
      <w:pPr>
        <w:pStyle w:val="NoSpacing"/>
        <w:numPr>
          <w:ilvl w:val="0"/>
          <w:numId w:val="33"/>
        </w:numPr>
        <w:rPr>
          <w:rFonts w:ascii="Calibri" w:hAnsi="Calibri" w:cs="Calibri"/>
          <w:b/>
          <w:sz w:val="24"/>
          <w:szCs w:val="24"/>
        </w:rPr>
      </w:pPr>
      <w:r w:rsidRPr="00CF1D85">
        <w:rPr>
          <w:rFonts w:ascii="Calibri" w:hAnsi="Calibri" w:cs="Calibri"/>
          <w:b/>
          <w:sz w:val="24"/>
          <w:szCs w:val="24"/>
        </w:rPr>
        <w:t>Risk Assessment and Emergency Planning</w:t>
      </w:r>
    </w:p>
    <w:p w14:paraId="1CECD3EB" w14:textId="77777777" w:rsidR="00AE44B6" w:rsidRPr="00CF1D85" w:rsidRDefault="00AE44B6" w:rsidP="00AE44B6">
      <w:pPr>
        <w:pStyle w:val="NoSpacing"/>
        <w:numPr>
          <w:ilvl w:val="1"/>
          <w:numId w:val="33"/>
        </w:numPr>
        <w:rPr>
          <w:rFonts w:ascii="Calibri" w:hAnsi="Calibri" w:cs="Calibri"/>
          <w:sz w:val="24"/>
          <w:szCs w:val="24"/>
        </w:rPr>
      </w:pPr>
      <w:r w:rsidRPr="00CF1D85">
        <w:rPr>
          <w:rFonts w:ascii="Calibri" w:hAnsi="Calibri" w:cs="Calibri"/>
          <w:sz w:val="24"/>
          <w:szCs w:val="24"/>
        </w:rPr>
        <w:t xml:space="preserve">Develop an emergency preparedness plan based on facility and community risk assessments and utilizing an </w:t>
      </w:r>
      <w:proofErr w:type="gramStart"/>
      <w:r w:rsidRPr="00CF1D85">
        <w:rPr>
          <w:rFonts w:ascii="Calibri" w:hAnsi="Calibri" w:cs="Calibri"/>
          <w:sz w:val="24"/>
          <w:szCs w:val="24"/>
        </w:rPr>
        <w:t>all hazards</w:t>
      </w:r>
      <w:proofErr w:type="gramEnd"/>
      <w:r w:rsidRPr="00CF1D85">
        <w:rPr>
          <w:rFonts w:ascii="Calibri" w:hAnsi="Calibri" w:cs="Calibri"/>
          <w:sz w:val="24"/>
          <w:szCs w:val="24"/>
        </w:rPr>
        <w:t xml:space="preserve"> approach - addressing patient populations, services offered for continuity of operations and succession plans.  </w:t>
      </w:r>
    </w:p>
    <w:p w14:paraId="448A9A04" w14:textId="77777777" w:rsidR="00AE44B6" w:rsidRPr="00CF1D85" w:rsidRDefault="00AE44B6" w:rsidP="00AE44B6">
      <w:pPr>
        <w:pStyle w:val="NoSpacing"/>
        <w:numPr>
          <w:ilvl w:val="0"/>
          <w:numId w:val="33"/>
        </w:numPr>
        <w:rPr>
          <w:rFonts w:ascii="Calibri" w:hAnsi="Calibri" w:cs="Calibri"/>
          <w:b/>
          <w:sz w:val="24"/>
          <w:szCs w:val="24"/>
        </w:rPr>
      </w:pPr>
      <w:r w:rsidRPr="00CF1D85">
        <w:rPr>
          <w:rFonts w:ascii="Calibri" w:hAnsi="Calibri" w:cs="Calibri"/>
          <w:b/>
          <w:sz w:val="24"/>
          <w:szCs w:val="24"/>
        </w:rPr>
        <w:t>Policies and Procedures</w:t>
      </w:r>
    </w:p>
    <w:p w14:paraId="14435569" w14:textId="77777777" w:rsidR="00AE44B6" w:rsidRPr="00CF1D85" w:rsidRDefault="00AE44B6" w:rsidP="00AE44B6">
      <w:pPr>
        <w:pStyle w:val="NoSpacing"/>
        <w:numPr>
          <w:ilvl w:val="1"/>
          <w:numId w:val="33"/>
        </w:numPr>
        <w:rPr>
          <w:rFonts w:ascii="Calibri" w:hAnsi="Calibri" w:cs="Calibri"/>
          <w:sz w:val="24"/>
          <w:szCs w:val="24"/>
        </w:rPr>
      </w:pPr>
      <w:r w:rsidRPr="00CF1D85">
        <w:rPr>
          <w:rFonts w:ascii="Calibri" w:hAnsi="Calibri" w:cs="Calibri"/>
          <w:sz w:val="24"/>
          <w:szCs w:val="24"/>
        </w:rPr>
        <w:t xml:space="preserve">Develop emergency preparedness policies and procedures based on risk assessment, communication plan and the emergency plan – while coordinated with the facility assessment.  Need to address subsistence needs, resident tracking, evacuation process and shelter in place, protection of medical information and documentation, and arrangements with other community providers in the event of evacuation or resident transfer. </w:t>
      </w:r>
    </w:p>
    <w:p w14:paraId="76305B55" w14:textId="77777777" w:rsidR="00AE44B6" w:rsidRPr="00CF1D85" w:rsidRDefault="00AE44B6" w:rsidP="00AE44B6">
      <w:pPr>
        <w:pStyle w:val="NoSpacing"/>
        <w:numPr>
          <w:ilvl w:val="0"/>
          <w:numId w:val="33"/>
        </w:numPr>
        <w:rPr>
          <w:rFonts w:ascii="Calibri" w:hAnsi="Calibri" w:cs="Calibri"/>
          <w:b/>
          <w:sz w:val="24"/>
          <w:szCs w:val="24"/>
        </w:rPr>
      </w:pPr>
      <w:r w:rsidRPr="00CF1D85">
        <w:rPr>
          <w:rFonts w:ascii="Calibri" w:hAnsi="Calibri" w:cs="Calibri"/>
          <w:b/>
          <w:sz w:val="24"/>
          <w:szCs w:val="24"/>
        </w:rPr>
        <w:t>Communication Plan</w:t>
      </w:r>
    </w:p>
    <w:p w14:paraId="382CC2F1" w14:textId="77777777" w:rsidR="00AE44B6" w:rsidRPr="00CF1D85" w:rsidRDefault="00AE44B6" w:rsidP="00AE44B6">
      <w:pPr>
        <w:pStyle w:val="NoSpacing"/>
        <w:numPr>
          <w:ilvl w:val="1"/>
          <w:numId w:val="33"/>
        </w:numPr>
        <w:rPr>
          <w:rFonts w:ascii="Calibri" w:hAnsi="Calibri" w:cs="Calibri"/>
          <w:sz w:val="24"/>
          <w:szCs w:val="24"/>
        </w:rPr>
      </w:pPr>
      <w:r w:rsidRPr="00CF1D85">
        <w:rPr>
          <w:rFonts w:ascii="Calibri" w:hAnsi="Calibri" w:cs="Calibri"/>
          <w:sz w:val="24"/>
          <w:szCs w:val="24"/>
        </w:rPr>
        <w:t xml:space="preserve">Develop an emergency preparedness plan which addresses a comprehensive communication plan that complies with federal, state and local laws; the communication plan must include contact information for relevant partners, processes for the exchange of resident information and primary and alternate means of communication.  </w:t>
      </w:r>
    </w:p>
    <w:p w14:paraId="283F6328" w14:textId="77777777" w:rsidR="00AE44B6" w:rsidRPr="00CF1D85" w:rsidRDefault="00AE44B6" w:rsidP="00AE44B6">
      <w:pPr>
        <w:pStyle w:val="NoSpacing"/>
        <w:numPr>
          <w:ilvl w:val="0"/>
          <w:numId w:val="33"/>
        </w:numPr>
        <w:rPr>
          <w:rFonts w:ascii="Calibri" w:hAnsi="Calibri" w:cs="Calibri"/>
          <w:b/>
          <w:sz w:val="24"/>
          <w:szCs w:val="24"/>
        </w:rPr>
      </w:pPr>
      <w:r w:rsidRPr="00CF1D85">
        <w:rPr>
          <w:rFonts w:ascii="Calibri" w:hAnsi="Calibri" w:cs="Calibri"/>
          <w:b/>
          <w:sz w:val="24"/>
          <w:szCs w:val="24"/>
        </w:rPr>
        <w:t>Training and Testing</w:t>
      </w:r>
    </w:p>
    <w:p w14:paraId="22CBB393" w14:textId="77777777" w:rsidR="00AE44B6" w:rsidRPr="00CF1D85" w:rsidRDefault="00AE44B6" w:rsidP="00AE44B6">
      <w:pPr>
        <w:pStyle w:val="NoSpacing"/>
        <w:numPr>
          <w:ilvl w:val="1"/>
          <w:numId w:val="33"/>
        </w:numPr>
        <w:rPr>
          <w:rFonts w:ascii="Calibri" w:hAnsi="Calibri" w:cs="Calibri"/>
          <w:sz w:val="24"/>
          <w:szCs w:val="24"/>
        </w:rPr>
      </w:pPr>
      <w:r w:rsidRPr="00CF1D85">
        <w:rPr>
          <w:rFonts w:ascii="Calibri" w:hAnsi="Calibri" w:cs="Calibri"/>
          <w:sz w:val="24"/>
          <w:szCs w:val="24"/>
        </w:rPr>
        <w:lastRenderedPageBreak/>
        <w:t xml:space="preserve">Develop an emergency preparedness training and testing program based on the risk assessment, communication plan and emergency plan; annual training for all staff on all emergency preparedness policies and procedures; conduct and participate in two annual exercises – one of which must be a </w:t>
      </w:r>
      <w:proofErr w:type="gramStart"/>
      <w:r w:rsidRPr="00CF1D85">
        <w:rPr>
          <w:rFonts w:ascii="Calibri" w:hAnsi="Calibri" w:cs="Calibri"/>
          <w:sz w:val="24"/>
          <w:szCs w:val="24"/>
        </w:rPr>
        <w:t>full scale</w:t>
      </w:r>
      <w:proofErr w:type="gramEnd"/>
      <w:r w:rsidRPr="00CF1D85">
        <w:rPr>
          <w:rFonts w:ascii="Calibri" w:hAnsi="Calibri" w:cs="Calibri"/>
          <w:sz w:val="24"/>
          <w:szCs w:val="24"/>
        </w:rPr>
        <w:t xml:space="preserve"> community based exercise.  </w:t>
      </w:r>
    </w:p>
    <w:p w14:paraId="7BB4D129" w14:textId="77777777" w:rsidR="00AE44B6" w:rsidRPr="00CF1D85" w:rsidRDefault="00AE44B6" w:rsidP="00AE44B6">
      <w:pPr>
        <w:pStyle w:val="NoSpacing"/>
        <w:rPr>
          <w:rFonts w:ascii="Calibri" w:hAnsi="Calibri" w:cs="Calibri"/>
          <w:sz w:val="24"/>
          <w:szCs w:val="24"/>
        </w:rPr>
      </w:pPr>
    </w:p>
    <w:p w14:paraId="62C90C07" w14:textId="77777777" w:rsidR="00AE44B6" w:rsidRPr="00CF1D85" w:rsidRDefault="00AE44B6" w:rsidP="00AE44B6">
      <w:pPr>
        <w:pStyle w:val="NoSpacing"/>
        <w:rPr>
          <w:rFonts w:ascii="Calibri" w:hAnsi="Calibri" w:cs="Calibri"/>
          <w:sz w:val="24"/>
          <w:szCs w:val="24"/>
        </w:rPr>
      </w:pPr>
      <w:r w:rsidRPr="00CF1D85">
        <w:rPr>
          <w:rFonts w:ascii="Calibri" w:hAnsi="Calibri" w:cs="Calibri"/>
          <w:sz w:val="24"/>
          <w:szCs w:val="24"/>
        </w:rPr>
        <w:t xml:space="preserve">This toolkit is designed to walk long term care providers through the 4 core elements:  giving you definitions, templates, tools, best practices, and additional resource sites to produce plans for your unique risks.  </w:t>
      </w:r>
    </w:p>
    <w:p w14:paraId="55DF4561" w14:textId="77777777" w:rsidR="00AE44B6" w:rsidRPr="00CF1D85" w:rsidRDefault="00AE44B6" w:rsidP="00AE44B6">
      <w:pPr>
        <w:pStyle w:val="NoSpacing"/>
        <w:rPr>
          <w:rFonts w:ascii="Calibri" w:hAnsi="Calibri" w:cs="Calibri"/>
          <w:sz w:val="24"/>
          <w:szCs w:val="24"/>
        </w:rPr>
      </w:pPr>
    </w:p>
    <w:p w14:paraId="4D613367" w14:textId="7FD5F818" w:rsidR="00A5134B" w:rsidRDefault="00AE44B6" w:rsidP="00AE44B6">
      <w:pPr>
        <w:pStyle w:val="NoSpacing"/>
        <w:rPr>
          <w:rFonts w:ascii="Calibri" w:hAnsi="Calibri" w:cs="Calibri"/>
          <w:sz w:val="24"/>
          <w:szCs w:val="24"/>
        </w:rPr>
      </w:pPr>
      <w:r w:rsidRPr="00CF1D85">
        <w:rPr>
          <w:rFonts w:ascii="Calibri" w:hAnsi="Calibri" w:cs="Calibri"/>
          <w:sz w:val="24"/>
          <w:szCs w:val="24"/>
        </w:rPr>
        <w:t>Sound, timely planning is the foundation for effective emergency management.  A coordinated response is essential.  The best plans are not created in isolation.  An internal team with representation from all departments and all levels of staff -- in true Quality Assurance and Performance Improvement (QAPI) fashion – will produce a better result.  Early in the planning process, the team should also reach out to local, county/parish, tribal, regional, state, and federal coalitions</w:t>
      </w:r>
      <w:r w:rsidR="00A5134B">
        <w:rPr>
          <w:rFonts w:ascii="Calibri" w:hAnsi="Calibri" w:cs="Calibri"/>
          <w:sz w:val="24"/>
          <w:szCs w:val="24"/>
        </w:rPr>
        <w:t>, which are called Health Care Coalitions (HCC)</w:t>
      </w:r>
      <w:r w:rsidRPr="00CF1D85">
        <w:rPr>
          <w:rFonts w:ascii="Calibri" w:hAnsi="Calibri" w:cs="Calibri"/>
          <w:sz w:val="24"/>
          <w:szCs w:val="24"/>
        </w:rPr>
        <w:t xml:space="preserve">.  </w:t>
      </w:r>
    </w:p>
    <w:p w14:paraId="318FB66C" w14:textId="7ECBD131" w:rsidR="00A5134B" w:rsidRPr="00A5134B" w:rsidRDefault="00A5134B" w:rsidP="00A5134B">
      <w:pPr>
        <w:spacing w:before="240" w:after="240"/>
        <w:rPr>
          <w:rFonts w:asciiTheme="minorHAnsi" w:hAnsiTheme="minorHAnsi" w:cstheme="minorHAnsi"/>
          <w:color w:val="000000"/>
          <w:szCs w:val="24"/>
        </w:rPr>
      </w:pPr>
      <w:r>
        <w:rPr>
          <w:rFonts w:asciiTheme="minorHAnsi" w:hAnsiTheme="minorHAnsi" w:cstheme="minorHAnsi"/>
          <w:color w:val="000000"/>
          <w:szCs w:val="24"/>
        </w:rPr>
        <w:t xml:space="preserve">Health Care Coalitions </w:t>
      </w:r>
      <w:r w:rsidRPr="00A5134B">
        <w:rPr>
          <w:rFonts w:asciiTheme="minorHAnsi" w:hAnsiTheme="minorHAnsi" w:cstheme="minorHAnsi"/>
          <w:color w:val="000000"/>
          <w:szCs w:val="24"/>
        </w:rPr>
        <w:t>are groups of local health care and responder organizations that work together on challenges and find solutions that improve emergency preparedness and the health and safety of their communities.</w:t>
      </w:r>
      <w:r>
        <w:rPr>
          <w:rFonts w:asciiTheme="minorHAnsi" w:hAnsiTheme="minorHAnsi" w:cstheme="minorHAnsi"/>
          <w:color w:val="000000"/>
          <w:szCs w:val="24"/>
        </w:rPr>
        <w:t xml:space="preserve">  </w:t>
      </w:r>
      <w:r w:rsidRPr="00A5134B">
        <w:rPr>
          <w:rFonts w:asciiTheme="minorHAnsi" w:hAnsiTheme="minorHAnsi" w:cstheme="minorHAnsi"/>
          <w:color w:val="000000"/>
          <w:szCs w:val="24"/>
        </w:rPr>
        <w:t>HCCs reflect the unique needs and features of their local areas. They help health care facilities to plan, organize, equip, train, exercise, and evaluate the health care system preparedness in their regions.</w:t>
      </w:r>
    </w:p>
    <w:p w14:paraId="71757619" w14:textId="24FDE3E4" w:rsidR="00AE44B6" w:rsidRPr="00CF1D85" w:rsidRDefault="00AE44B6" w:rsidP="00AE44B6">
      <w:pPr>
        <w:pStyle w:val="NoSpacing"/>
        <w:rPr>
          <w:rFonts w:ascii="Calibri" w:hAnsi="Calibri" w:cs="Calibri"/>
          <w:sz w:val="24"/>
          <w:szCs w:val="24"/>
        </w:rPr>
      </w:pPr>
      <w:r w:rsidRPr="00CF1D85">
        <w:rPr>
          <w:rFonts w:ascii="Calibri" w:hAnsi="Calibri" w:cs="Calibri"/>
          <w:sz w:val="24"/>
          <w:szCs w:val="24"/>
        </w:rPr>
        <w:t xml:space="preserve">There are numerous coalitions in each state, in which they have resources, tools and can help in developing an Emergency Preparedness Plan as well as assist with the testing and training requirements.  Start here to identify state contact information:  </w:t>
      </w:r>
      <w:hyperlink r:id="rId8" w:history="1">
        <w:r w:rsidRPr="00CF1D85">
          <w:rPr>
            <w:rStyle w:val="Hyperlink"/>
            <w:rFonts w:ascii="Calibri" w:hAnsi="Calibri" w:cs="Calibri"/>
            <w:sz w:val="24"/>
            <w:szCs w:val="24"/>
          </w:rPr>
          <w:t>https://www.cms.gov/About-CMS/Agency-Information/Emergency/EPRO/Resources/State-resources</w:t>
        </w:r>
      </w:hyperlink>
    </w:p>
    <w:p w14:paraId="42409172" w14:textId="77777777" w:rsidR="00AE44B6" w:rsidRPr="00CF1D85" w:rsidRDefault="00AE44B6" w:rsidP="00AE44B6">
      <w:pPr>
        <w:pStyle w:val="NoSpacing"/>
        <w:rPr>
          <w:rFonts w:ascii="Calibri" w:hAnsi="Calibri" w:cs="Calibri"/>
          <w:sz w:val="24"/>
          <w:szCs w:val="24"/>
        </w:rPr>
      </w:pPr>
    </w:p>
    <w:p w14:paraId="42189FB3" w14:textId="77777777" w:rsidR="00AE44B6" w:rsidRPr="00CF1D85" w:rsidRDefault="00AE44B6" w:rsidP="00AE44B6">
      <w:pPr>
        <w:pStyle w:val="NoSpacing"/>
        <w:rPr>
          <w:rFonts w:ascii="Calibri" w:hAnsi="Calibri" w:cs="Calibri"/>
          <w:sz w:val="24"/>
          <w:szCs w:val="24"/>
        </w:rPr>
      </w:pPr>
      <w:r w:rsidRPr="00CF1D85">
        <w:rPr>
          <w:rFonts w:ascii="Calibri" w:hAnsi="Calibri" w:cs="Calibri"/>
          <w:sz w:val="24"/>
          <w:szCs w:val="24"/>
        </w:rPr>
        <w:t>Insurance carriers are also excellent sources of emergency planning materials, including a variety of checklists and templates based upon best practices and sound stewardship to protect both lives and property.</w:t>
      </w:r>
    </w:p>
    <w:p w14:paraId="45B37556" w14:textId="77777777" w:rsidR="00AE44B6" w:rsidRPr="00CF1D85" w:rsidRDefault="00AE44B6" w:rsidP="00AE44B6">
      <w:pPr>
        <w:pStyle w:val="NoSpacing"/>
        <w:rPr>
          <w:rFonts w:ascii="Calibri" w:hAnsi="Calibri" w:cs="Calibri"/>
          <w:sz w:val="24"/>
          <w:szCs w:val="24"/>
        </w:rPr>
      </w:pPr>
    </w:p>
    <w:p w14:paraId="10A93FE2" w14:textId="77777777" w:rsidR="00AE44B6" w:rsidRPr="00CF1D85" w:rsidRDefault="00AE44B6" w:rsidP="00AE44B6">
      <w:pPr>
        <w:pStyle w:val="NoSpacing"/>
        <w:rPr>
          <w:rFonts w:ascii="Calibri" w:hAnsi="Calibri" w:cs="Calibri"/>
          <w:sz w:val="24"/>
          <w:szCs w:val="24"/>
        </w:rPr>
      </w:pPr>
      <w:r w:rsidRPr="00CF1D85">
        <w:rPr>
          <w:rFonts w:ascii="Calibri" w:hAnsi="Calibri" w:cs="Calibri"/>
          <w:sz w:val="24"/>
          <w:szCs w:val="24"/>
        </w:rPr>
        <w:t xml:space="preserve">Emergency Preparedness is an on-going process.  Leadership must make it a priority and not only support team members’ time to complete the task but also eliminate roadblocks to success.  The team will prioritize the creation, the review, and the revision tasks.  The regulation itself requires upon-hire and annual training as well as annual plan reviews, and twice-yearly drills.  Feedback and analysis are key components for effective plans, action, and recovery.  Systems -- well-designed and well-practiced -- will give staff, residents, and the community confidence in the facility’s ability to respond in times of emergency. </w:t>
      </w:r>
    </w:p>
    <w:p w14:paraId="48047A32" w14:textId="77777777" w:rsidR="00AE44B6" w:rsidRPr="00CF1D85" w:rsidRDefault="00AE44B6" w:rsidP="00AE44B6">
      <w:pPr>
        <w:pStyle w:val="NoSpacing"/>
        <w:rPr>
          <w:rFonts w:ascii="Calibri" w:hAnsi="Calibri" w:cs="Calibri"/>
          <w:sz w:val="24"/>
          <w:szCs w:val="24"/>
        </w:rPr>
      </w:pPr>
    </w:p>
    <w:p w14:paraId="6ED0B9BC" w14:textId="77777777" w:rsidR="00AE44B6" w:rsidRPr="00CF1D85" w:rsidRDefault="00AE44B6" w:rsidP="00AE44B6">
      <w:pPr>
        <w:jc w:val="center"/>
        <w:rPr>
          <w:rFonts w:ascii="Calibri" w:eastAsiaTheme="minorHAnsi" w:hAnsi="Calibri" w:cs="Calibri"/>
          <w:bCs/>
        </w:rPr>
      </w:pPr>
    </w:p>
    <w:p w14:paraId="58725EE0" w14:textId="02CF2091" w:rsidR="00AE44B6" w:rsidRPr="00CF1D85" w:rsidRDefault="00A5134B" w:rsidP="00A5134B">
      <w:pPr>
        <w:rPr>
          <w:rFonts w:ascii="Calibri" w:eastAsiaTheme="minorHAnsi" w:hAnsi="Calibri" w:cs="Calibri"/>
          <w:b/>
          <w:bCs/>
        </w:rPr>
      </w:pPr>
      <w:r>
        <w:rPr>
          <w:rFonts w:ascii="Calibri" w:eastAsiaTheme="minorHAnsi" w:hAnsi="Calibri" w:cs="Calibri"/>
          <w:b/>
          <w:bCs/>
        </w:rPr>
        <w:lastRenderedPageBreak/>
        <w:t>Resources and References:</w:t>
      </w:r>
    </w:p>
    <w:p w14:paraId="36AEA1B3" w14:textId="77777777" w:rsidR="00AE44B6" w:rsidRPr="00CF1D85" w:rsidRDefault="00AE44B6" w:rsidP="00AE44B6">
      <w:pPr>
        <w:jc w:val="center"/>
        <w:rPr>
          <w:rFonts w:ascii="Calibri" w:eastAsiaTheme="minorHAnsi" w:hAnsi="Calibri" w:cs="Calibri"/>
          <w:bCs/>
        </w:rPr>
      </w:pPr>
    </w:p>
    <w:p w14:paraId="494077E0" w14:textId="49B3E076" w:rsidR="00AE44B6" w:rsidRDefault="00AE44B6" w:rsidP="00AE44B6">
      <w:pPr>
        <w:rPr>
          <w:rFonts w:ascii="Calibri" w:eastAsiaTheme="minorHAnsi" w:hAnsi="Calibri" w:cs="Calibri"/>
          <w:bCs/>
        </w:rPr>
      </w:pPr>
      <w:r>
        <w:rPr>
          <w:rFonts w:ascii="Calibri" w:eastAsiaTheme="minorHAnsi" w:hAnsi="Calibri" w:cs="Calibri"/>
          <w:bCs/>
        </w:rPr>
        <w:t>The Centers for Medicare and Medicaid Services Emergency Preparedness Rule</w:t>
      </w:r>
      <w:r w:rsidR="00CC76BD">
        <w:rPr>
          <w:rFonts w:ascii="Calibri" w:eastAsiaTheme="minorHAnsi" w:hAnsi="Calibri" w:cs="Calibri"/>
          <w:bCs/>
        </w:rPr>
        <w:t xml:space="preserve"> Resource Site:  </w:t>
      </w:r>
      <w:hyperlink r:id="rId9" w:history="1">
        <w:r w:rsidR="00CC76BD" w:rsidRPr="00571F20">
          <w:rPr>
            <w:rStyle w:val="Hyperlink"/>
            <w:rFonts w:ascii="Calibri" w:eastAsiaTheme="minorHAnsi" w:hAnsi="Calibri" w:cs="Calibri"/>
            <w:bCs/>
          </w:rPr>
          <w:t>https://www.cms.gov/Medicare/Provider-Enrollment-and-Certification/SurveyCertEmergPrep/Emergency-Prep-Rule</w:t>
        </w:r>
      </w:hyperlink>
      <w:r w:rsidR="00CC76BD">
        <w:rPr>
          <w:rFonts w:ascii="Calibri" w:eastAsiaTheme="minorHAnsi" w:hAnsi="Calibri" w:cs="Calibri"/>
          <w:bCs/>
        </w:rPr>
        <w:t xml:space="preserve"> </w:t>
      </w:r>
      <w:r>
        <w:rPr>
          <w:rFonts w:ascii="Calibri" w:eastAsiaTheme="minorHAnsi" w:hAnsi="Calibri" w:cs="Calibri"/>
          <w:bCs/>
        </w:rPr>
        <w:t xml:space="preserve">    </w:t>
      </w:r>
    </w:p>
    <w:p w14:paraId="425808A5" w14:textId="77777777" w:rsidR="00AE44B6" w:rsidRDefault="00AE44B6" w:rsidP="00AE44B6">
      <w:pPr>
        <w:rPr>
          <w:rFonts w:ascii="Calibri" w:eastAsiaTheme="minorHAnsi" w:hAnsi="Calibri" w:cs="Calibri"/>
          <w:bCs/>
        </w:rPr>
      </w:pPr>
    </w:p>
    <w:p w14:paraId="647E2033" w14:textId="38B92C5C" w:rsidR="00AE44B6" w:rsidRPr="00CF1D85" w:rsidRDefault="00AE44B6" w:rsidP="00AE44B6">
      <w:pPr>
        <w:rPr>
          <w:rFonts w:ascii="Calibri" w:eastAsiaTheme="minorHAnsi" w:hAnsi="Calibri" w:cs="Calibri"/>
          <w:bCs/>
        </w:rPr>
      </w:pPr>
      <w:r w:rsidRPr="00CF1D85">
        <w:rPr>
          <w:rFonts w:ascii="Calibri" w:eastAsiaTheme="minorHAnsi" w:hAnsi="Calibri" w:cs="Calibri"/>
          <w:bCs/>
        </w:rPr>
        <w:t>Updated Guidance for Emergency Preparedness-Appendix Z of the State Operations Manual (</w:t>
      </w:r>
      <w:r w:rsidRPr="00CC76BD">
        <w:rPr>
          <w:rFonts w:asciiTheme="minorHAnsi" w:eastAsiaTheme="minorHAnsi" w:hAnsiTheme="minorHAnsi" w:cstheme="minorHAnsi"/>
          <w:bCs/>
        </w:rPr>
        <w:t>SOM) Ref: QSO-21-15-ALL</w:t>
      </w:r>
      <w:r w:rsidRPr="00CC76BD">
        <w:rPr>
          <w:rFonts w:asciiTheme="minorHAnsi" w:hAnsiTheme="minorHAnsi" w:cstheme="minorHAnsi"/>
        </w:rPr>
        <w:t xml:space="preserve"> </w:t>
      </w:r>
      <w:hyperlink r:id="rId10" w:history="1">
        <w:r w:rsidR="00CC76BD" w:rsidRPr="00CC76BD">
          <w:rPr>
            <w:rStyle w:val="Hyperlink"/>
            <w:rFonts w:asciiTheme="minorHAnsi" w:hAnsiTheme="minorHAnsi" w:cstheme="minorHAnsi"/>
          </w:rPr>
          <w:t>https://www.cms.gov/files/document/qso-20-41-all-revised-05262022.pdf</w:t>
        </w:r>
      </w:hyperlink>
      <w:r w:rsidR="00CC76BD">
        <w:t xml:space="preserve"> </w:t>
      </w:r>
    </w:p>
    <w:p w14:paraId="55A62C01" w14:textId="77777777" w:rsidR="00AE44B6" w:rsidRPr="00CF1D85" w:rsidRDefault="00AE44B6" w:rsidP="00AE44B6">
      <w:pPr>
        <w:rPr>
          <w:rFonts w:ascii="Calibri" w:eastAsiaTheme="minorHAnsi" w:hAnsi="Calibri" w:cs="Calibri"/>
          <w:bCs/>
        </w:rPr>
      </w:pPr>
    </w:p>
    <w:p w14:paraId="62F2F648" w14:textId="77777777" w:rsidR="00AE44B6" w:rsidRPr="00CF1D85" w:rsidRDefault="00AE44B6" w:rsidP="00AE44B6">
      <w:pPr>
        <w:rPr>
          <w:rStyle w:val="Hyperlink"/>
          <w:rFonts w:ascii="Calibri" w:hAnsi="Calibri" w:cs="Calibri"/>
        </w:rPr>
      </w:pPr>
      <w:r w:rsidRPr="00CF1D85">
        <w:rPr>
          <w:rFonts w:ascii="Calibri" w:hAnsi="Calibri" w:cs="Calibri"/>
        </w:rPr>
        <w:t xml:space="preserve">Revisions to the State Operations Manual (SOM) Appendix Z – Emergency Preparedness Transmittal: 204 issued April 16, 2021 </w:t>
      </w:r>
      <w:hyperlink r:id="rId11" w:history="1">
        <w:r w:rsidRPr="00CF1D85">
          <w:rPr>
            <w:rStyle w:val="Hyperlink"/>
            <w:rFonts w:ascii="Calibri" w:hAnsi="Calibri" w:cs="Calibri"/>
          </w:rPr>
          <w:t>https://www.cms.gov/files/document/r204soma.pdf</w:t>
        </w:r>
      </w:hyperlink>
    </w:p>
    <w:p w14:paraId="1DDF12C8" w14:textId="1228BFD8" w:rsidR="00AE44B6" w:rsidRDefault="00AE44B6" w:rsidP="00AE44B6">
      <w:pPr>
        <w:rPr>
          <w:rStyle w:val="Hyperlink"/>
          <w:rFonts w:ascii="Calibri" w:hAnsi="Calibri" w:cs="Calibri"/>
        </w:rPr>
      </w:pPr>
    </w:p>
    <w:p w14:paraId="40548B80" w14:textId="712ED869" w:rsidR="00A5134B" w:rsidRDefault="00A5134B" w:rsidP="00AE44B6">
      <w:pPr>
        <w:rPr>
          <w:rFonts w:ascii="Calibri" w:eastAsiaTheme="minorHAnsi" w:hAnsi="Calibri" w:cs="Calibri"/>
          <w:bCs/>
        </w:rPr>
      </w:pPr>
      <w:r>
        <w:rPr>
          <w:rFonts w:ascii="Calibri" w:eastAsiaTheme="minorHAnsi" w:hAnsi="Calibri" w:cs="Calibri"/>
          <w:bCs/>
        </w:rPr>
        <w:t xml:space="preserve">The Centers for Medicare and Medicaid Services.  Health Care Coalitions.  </w:t>
      </w:r>
      <w:hyperlink r:id="rId12" w:history="1">
        <w:r w:rsidRPr="00571F20">
          <w:rPr>
            <w:rStyle w:val="Hyperlink"/>
            <w:rFonts w:ascii="Calibri" w:eastAsiaTheme="minorHAnsi" w:hAnsi="Calibri" w:cs="Calibri"/>
            <w:bCs/>
          </w:rPr>
          <w:t>https://www.cms.gov/About-CMS/Agency-Information/Emergency/EPRO/Resources/State-resources</w:t>
        </w:r>
      </w:hyperlink>
      <w:r>
        <w:rPr>
          <w:rFonts w:ascii="Calibri" w:eastAsiaTheme="minorHAnsi" w:hAnsi="Calibri" w:cs="Calibri"/>
          <w:bCs/>
        </w:rPr>
        <w:t xml:space="preserve"> </w:t>
      </w:r>
    </w:p>
    <w:p w14:paraId="2D31395E" w14:textId="5472A37D" w:rsidR="003B7022" w:rsidRDefault="003B7022" w:rsidP="00AE44B6">
      <w:pPr>
        <w:rPr>
          <w:rFonts w:ascii="Calibri" w:eastAsiaTheme="minorHAnsi" w:hAnsi="Calibri" w:cs="Calibri"/>
          <w:bCs/>
        </w:rPr>
      </w:pPr>
    </w:p>
    <w:p w14:paraId="33E99AB5" w14:textId="77777777" w:rsidR="003B7022" w:rsidRPr="009E4AA2" w:rsidRDefault="003B7022" w:rsidP="003B7022">
      <w:pPr>
        <w:rPr>
          <w:rFonts w:asciiTheme="minorHAnsi" w:hAnsiTheme="minorHAnsi" w:cstheme="minorHAnsi"/>
          <w:szCs w:val="24"/>
        </w:rPr>
      </w:pPr>
      <w:r w:rsidRPr="009E4AA2">
        <w:rPr>
          <w:rFonts w:asciiTheme="minorHAnsi" w:hAnsiTheme="minorHAnsi" w:cstheme="minorHAnsi"/>
          <w:szCs w:val="24"/>
        </w:rPr>
        <w:t xml:space="preserve">Centers for Medicare &amp; Medicaid Services State Operations Manual, Appendix PP – Guidance to Surveyors for Long Term Care Facilities (Rev. 173, 11-22-17) Advance Copy, 2022:  </w:t>
      </w:r>
      <w:hyperlink r:id="rId13" w:history="1">
        <w:r w:rsidRPr="009E4AA2">
          <w:rPr>
            <w:rStyle w:val="Hyperlink"/>
            <w:rFonts w:asciiTheme="minorHAnsi" w:hAnsiTheme="minorHAnsi" w:cstheme="minorHAnsi"/>
            <w:szCs w:val="24"/>
          </w:rPr>
          <w:t>https://www.cms.gov/files/document/appendix-pp-guidance-surveyor-long-term-care-facilities.pdf</w:t>
        </w:r>
      </w:hyperlink>
    </w:p>
    <w:p w14:paraId="4CF6D22B" w14:textId="77777777" w:rsidR="003B7022" w:rsidRPr="00CF1D85" w:rsidRDefault="003B7022" w:rsidP="00AE44B6">
      <w:pPr>
        <w:rPr>
          <w:rStyle w:val="Hyperlink"/>
          <w:rFonts w:ascii="Calibri" w:hAnsi="Calibri" w:cs="Calibri"/>
        </w:rPr>
      </w:pPr>
    </w:p>
    <w:p w14:paraId="3E76B7F5" w14:textId="77777777" w:rsidR="00A5134B" w:rsidRDefault="00A5134B" w:rsidP="00AE44B6">
      <w:pPr>
        <w:pStyle w:val="NormalWeb"/>
        <w:spacing w:before="0" w:beforeAutospacing="0" w:after="0" w:afterAutospacing="0"/>
        <w:rPr>
          <w:rFonts w:ascii="Calibri" w:hAnsi="Calibri" w:cs="Calibri"/>
          <w:i/>
          <w:sz w:val="22"/>
          <w:szCs w:val="22"/>
        </w:rPr>
      </w:pPr>
    </w:p>
    <w:p w14:paraId="3AAFAD76" w14:textId="77777777" w:rsidR="00A5134B" w:rsidRDefault="00A5134B" w:rsidP="00AE44B6">
      <w:pPr>
        <w:pStyle w:val="NormalWeb"/>
        <w:spacing w:before="0" w:beforeAutospacing="0" w:after="0" w:afterAutospacing="0"/>
        <w:rPr>
          <w:rFonts w:ascii="Calibri" w:hAnsi="Calibri" w:cs="Calibri"/>
          <w:i/>
          <w:sz w:val="22"/>
          <w:szCs w:val="22"/>
        </w:rPr>
      </w:pPr>
    </w:p>
    <w:p w14:paraId="53A4B621" w14:textId="77777777" w:rsidR="00A5134B" w:rsidRDefault="00A5134B" w:rsidP="00AE44B6">
      <w:pPr>
        <w:pStyle w:val="NormalWeb"/>
        <w:spacing w:before="0" w:beforeAutospacing="0" w:after="0" w:afterAutospacing="0"/>
        <w:rPr>
          <w:rFonts w:ascii="Calibri" w:hAnsi="Calibri" w:cs="Calibri"/>
          <w:i/>
          <w:sz w:val="22"/>
          <w:szCs w:val="22"/>
        </w:rPr>
      </w:pPr>
    </w:p>
    <w:p w14:paraId="2545695A" w14:textId="77777777" w:rsidR="00A5134B" w:rsidRDefault="00A5134B" w:rsidP="00AE44B6">
      <w:pPr>
        <w:pStyle w:val="NormalWeb"/>
        <w:spacing w:before="0" w:beforeAutospacing="0" w:after="0" w:afterAutospacing="0"/>
        <w:rPr>
          <w:rFonts w:ascii="Calibri" w:hAnsi="Calibri" w:cs="Calibri"/>
          <w:i/>
          <w:sz w:val="22"/>
          <w:szCs w:val="22"/>
        </w:rPr>
      </w:pPr>
    </w:p>
    <w:p w14:paraId="333C224F" w14:textId="77777777" w:rsidR="00A5134B" w:rsidRDefault="00A5134B" w:rsidP="00AE44B6">
      <w:pPr>
        <w:pStyle w:val="NormalWeb"/>
        <w:spacing w:before="0" w:beforeAutospacing="0" w:after="0" w:afterAutospacing="0"/>
        <w:rPr>
          <w:rFonts w:ascii="Calibri" w:hAnsi="Calibri" w:cs="Calibri"/>
          <w:i/>
          <w:sz w:val="22"/>
          <w:szCs w:val="22"/>
        </w:rPr>
      </w:pPr>
    </w:p>
    <w:p w14:paraId="1787C477" w14:textId="77777777" w:rsidR="00A5134B" w:rsidRDefault="00A5134B" w:rsidP="00AE44B6">
      <w:pPr>
        <w:pStyle w:val="NormalWeb"/>
        <w:spacing w:before="0" w:beforeAutospacing="0" w:after="0" w:afterAutospacing="0"/>
        <w:rPr>
          <w:rFonts w:ascii="Calibri" w:hAnsi="Calibri" w:cs="Calibri"/>
          <w:i/>
          <w:sz w:val="22"/>
          <w:szCs w:val="22"/>
        </w:rPr>
      </w:pPr>
    </w:p>
    <w:p w14:paraId="733449F4" w14:textId="77777777" w:rsidR="00A5134B" w:rsidRDefault="00A5134B" w:rsidP="00AE44B6">
      <w:pPr>
        <w:pStyle w:val="NormalWeb"/>
        <w:spacing w:before="0" w:beforeAutospacing="0" w:after="0" w:afterAutospacing="0"/>
        <w:rPr>
          <w:rFonts w:ascii="Calibri" w:hAnsi="Calibri" w:cs="Calibri"/>
          <w:i/>
          <w:sz w:val="22"/>
          <w:szCs w:val="22"/>
        </w:rPr>
      </w:pPr>
    </w:p>
    <w:p w14:paraId="581A03E9" w14:textId="77777777" w:rsidR="00A5134B" w:rsidRDefault="00A5134B" w:rsidP="00AE44B6">
      <w:pPr>
        <w:pStyle w:val="NormalWeb"/>
        <w:spacing w:before="0" w:beforeAutospacing="0" w:after="0" w:afterAutospacing="0"/>
        <w:rPr>
          <w:rFonts w:ascii="Calibri" w:hAnsi="Calibri" w:cs="Calibri"/>
          <w:i/>
          <w:sz w:val="22"/>
          <w:szCs w:val="22"/>
        </w:rPr>
      </w:pPr>
    </w:p>
    <w:p w14:paraId="31D0033A" w14:textId="77777777" w:rsidR="00A5134B" w:rsidRDefault="00A5134B" w:rsidP="00AE44B6">
      <w:pPr>
        <w:pStyle w:val="NormalWeb"/>
        <w:spacing w:before="0" w:beforeAutospacing="0" w:after="0" w:afterAutospacing="0"/>
        <w:rPr>
          <w:rFonts w:ascii="Calibri" w:hAnsi="Calibri" w:cs="Calibri"/>
          <w:i/>
          <w:sz w:val="22"/>
          <w:szCs w:val="22"/>
        </w:rPr>
      </w:pPr>
    </w:p>
    <w:p w14:paraId="0DE611E4" w14:textId="77777777" w:rsidR="00A5134B" w:rsidRDefault="00A5134B" w:rsidP="00AE44B6">
      <w:pPr>
        <w:pStyle w:val="NormalWeb"/>
        <w:spacing w:before="0" w:beforeAutospacing="0" w:after="0" w:afterAutospacing="0"/>
        <w:rPr>
          <w:rFonts w:ascii="Calibri" w:hAnsi="Calibri" w:cs="Calibri"/>
          <w:i/>
          <w:sz w:val="22"/>
          <w:szCs w:val="22"/>
        </w:rPr>
      </w:pPr>
    </w:p>
    <w:p w14:paraId="658DE6A0" w14:textId="77777777" w:rsidR="00A5134B" w:rsidRDefault="00A5134B" w:rsidP="00AE44B6">
      <w:pPr>
        <w:pStyle w:val="NormalWeb"/>
        <w:spacing w:before="0" w:beforeAutospacing="0" w:after="0" w:afterAutospacing="0"/>
        <w:rPr>
          <w:rFonts w:ascii="Calibri" w:hAnsi="Calibri" w:cs="Calibri"/>
          <w:i/>
          <w:sz w:val="22"/>
          <w:szCs w:val="22"/>
        </w:rPr>
      </w:pPr>
    </w:p>
    <w:p w14:paraId="08894D7E" w14:textId="77777777" w:rsidR="00A5134B" w:rsidRDefault="00A5134B" w:rsidP="00AE44B6">
      <w:pPr>
        <w:pStyle w:val="NormalWeb"/>
        <w:spacing w:before="0" w:beforeAutospacing="0" w:after="0" w:afterAutospacing="0"/>
        <w:rPr>
          <w:rFonts w:ascii="Calibri" w:hAnsi="Calibri" w:cs="Calibri"/>
          <w:i/>
          <w:sz w:val="22"/>
          <w:szCs w:val="22"/>
        </w:rPr>
      </w:pPr>
    </w:p>
    <w:p w14:paraId="29CA0522" w14:textId="77777777" w:rsidR="00A5134B" w:rsidRDefault="00A5134B" w:rsidP="00AE44B6">
      <w:pPr>
        <w:pStyle w:val="NormalWeb"/>
        <w:spacing w:before="0" w:beforeAutospacing="0" w:after="0" w:afterAutospacing="0"/>
        <w:rPr>
          <w:rFonts w:ascii="Calibri" w:hAnsi="Calibri" w:cs="Calibri"/>
          <w:i/>
          <w:sz w:val="22"/>
          <w:szCs w:val="22"/>
        </w:rPr>
      </w:pPr>
    </w:p>
    <w:p w14:paraId="45E8F91E" w14:textId="77777777" w:rsidR="00A5134B" w:rsidRDefault="00A5134B" w:rsidP="00AE44B6">
      <w:pPr>
        <w:pStyle w:val="NormalWeb"/>
        <w:spacing w:before="0" w:beforeAutospacing="0" w:after="0" w:afterAutospacing="0"/>
        <w:rPr>
          <w:rFonts w:ascii="Calibri" w:hAnsi="Calibri" w:cs="Calibri"/>
          <w:i/>
          <w:sz w:val="22"/>
          <w:szCs w:val="22"/>
        </w:rPr>
      </w:pPr>
    </w:p>
    <w:p w14:paraId="2E801ABF" w14:textId="77777777" w:rsidR="00A5134B" w:rsidRDefault="00A5134B" w:rsidP="00A5134B">
      <w:pPr>
        <w:pStyle w:val="NormalWeb"/>
        <w:spacing w:before="0" w:beforeAutospacing="0" w:after="0" w:afterAutospacing="0"/>
        <w:jc w:val="center"/>
        <w:rPr>
          <w:rFonts w:ascii="Calibri" w:hAnsi="Calibri" w:cs="Calibri"/>
          <w:i/>
          <w:sz w:val="22"/>
          <w:szCs w:val="22"/>
        </w:rPr>
      </w:pPr>
    </w:p>
    <w:p w14:paraId="314EFB8A" w14:textId="15A9CF3D" w:rsidR="00AE44B6" w:rsidRPr="00CF1D85" w:rsidRDefault="00AE44B6" w:rsidP="00A5134B">
      <w:pPr>
        <w:pStyle w:val="NormalWeb"/>
        <w:spacing w:before="0" w:beforeAutospacing="0" w:after="0" w:afterAutospacing="0"/>
        <w:jc w:val="center"/>
        <w:rPr>
          <w:rFonts w:ascii="Calibri" w:hAnsi="Calibri" w:cs="Calibri"/>
          <w:bCs/>
          <w:color w:val="000000"/>
        </w:rPr>
      </w:pPr>
      <w:r w:rsidRPr="00CF1D85">
        <w:rPr>
          <w:rFonts w:ascii="Calibri" w:hAnsi="Calibri" w:cs="Calibri"/>
          <w:i/>
          <w:sz w:val="22"/>
          <w:szCs w:val="22"/>
        </w:rPr>
        <w:t>Pathway Health Services, Inc. and the purchaser</w:t>
      </w:r>
      <w:r w:rsidR="00A5134B">
        <w:rPr>
          <w:rFonts w:ascii="Calibri" w:hAnsi="Calibri" w:cs="Calibri"/>
          <w:i/>
          <w:sz w:val="22"/>
          <w:szCs w:val="22"/>
        </w:rPr>
        <w:t>/end user</w:t>
      </w:r>
      <w:r w:rsidRPr="00CF1D85">
        <w:rPr>
          <w:rFonts w:ascii="Calibri" w:hAnsi="Calibri" w:cs="Calibri"/>
          <w:i/>
          <w:sz w:val="22"/>
          <w:szCs w:val="22"/>
        </w:rPr>
        <w:t>, shall each indemnify and hold the other harmless from any claim or cause of action arising out of, or in connection with, the indemnifying party’s acts or omissions under this manual, including the acts of its agents and employees, and from any loss or expense or attorneys’ fees and court costs arising out of any claim or cause of action.</w:t>
      </w:r>
    </w:p>
    <w:p w14:paraId="64299242" w14:textId="77777777" w:rsidR="00AE44B6" w:rsidRDefault="00AE44B6" w:rsidP="00A5134B">
      <w:pPr>
        <w:spacing w:after="160" w:line="259" w:lineRule="auto"/>
        <w:jc w:val="center"/>
        <w:rPr>
          <w:rFonts w:ascii="Calibri" w:hAnsi="Calibri"/>
          <w:b/>
          <w:sz w:val="32"/>
        </w:rPr>
      </w:pPr>
    </w:p>
    <w:sectPr w:rsidR="00AE44B6" w:rsidSect="00DE7AF9">
      <w:headerReference w:type="default" r:id="rId14"/>
      <w:footerReference w:type="default" r:id="rId15"/>
      <w:head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65D1" w14:textId="77777777" w:rsidR="00981913" w:rsidRDefault="00981913" w:rsidP="00FE158D">
      <w:r>
        <w:separator/>
      </w:r>
    </w:p>
  </w:endnote>
  <w:endnote w:type="continuationSeparator" w:id="0">
    <w:p w14:paraId="1C42CD1A" w14:textId="77777777" w:rsidR="00981913" w:rsidRDefault="00981913"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F866" w14:textId="77777777" w:rsidR="006B2ED2" w:rsidRDefault="00FE158D" w:rsidP="00FE158D">
    <w:pPr>
      <w:pStyle w:val="Footer"/>
    </w:pPr>
    <w:r>
      <w:t xml:space="preserve">                                                                                                            </w:t>
    </w:r>
  </w:p>
  <w:p w14:paraId="74C94F7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9FBB14C"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77CD9BAE" w14:textId="6FC1D30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r w:rsidR="000D084D">
      <w:rPr>
        <w:rFonts w:ascii="Calibri" w:eastAsia="Calibri" w:hAnsi="Calibr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DA77" w14:textId="77777777" w:rsidR="00981913" w:rsidRDefault="00981913" w:rsidP="00FE158D">
      <w:r>
        <w:separator/>
      </w:r>
    </w:p>
  </w:footnote>
  <w:footnote w:type="continuationSeparator" w:id="0">
    <w:p w14:paraId="0A95C6D9" w14:textId="77777777" w:rsidR="00981913" w:rsidRDefault="00981913"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F6EF" w14:textId="77777777" w:rsidR="006B2ED2" w:rsidRDefault="006B2ED2">
    <w:pPr>
      <w:pStyle w:val="Header"/>
    </w:pPr>
    <w:r>
      <w:rPr>
        <w:noProof/>
      </w:rPr>
      <w:drawing>
        <wp:anchor distT="0" distB="0" distL="114300" distR="114300" simplePos="0" relativeHeight="251658240" behindDoc="1" locked="1" layoutInCell="1" allowOverlap="0" wp14:anchorId="115BB1F4" wp14:editId="05C6A101">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4B05"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301B6228" wp14:editId="25915440">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583CF4"/>
    <w:multiLevelType w:val="multilevel"/>
    <w:tmpl w:val="4EEC0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8791658"/>
    <w:multiLevelType w:val="hybridMultilevel"/>
    <w:tmpl w:val="D2F0CE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B0843"/>
    <w:multiLevelType w:val="hybridMultilevel"/>
    <w:tmpl w:val="8674847A"/>
    <w:lvl w:ilvl="0" w:tplc="A26CA69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990905"/>
    <w:multiLevelType w:val="hybridMultilevel"/>
    <w:tmpl w:val="5F88410C"/>
    <w:lvl w:ilvl="0" w:tplc="B8006C24">
      <w:start w:val="1"/>
      <w:numFmt w:val="bullet"/>
      <w:lvlText w:val="•"/>
      <w:lvlJc w:val="left"/>
      <w:pPr>
        <w:tabs>
          <w:tab w:val="num" w:pos="720"/>
        </w:tabs>
        <w:ind w:left="720" w:hanging="360"/>
      </w:pPr>
      <w:rPr>
        <w:rFonts w:ascii="Arial" w:hAnsi="Arial" w:hint="default"/>
      </w:rPr>
    </w:lvl>
    <w:lvl w:ilvl="1" w:tplc="38B0304C" w:tentative="1">
      <w:start w:val="1"/>
      <w:numFmt w:val="bullet"/>
      <w:lvlText w:val="•"/>
      <w:lvlJc w:val="left"/>
      <w:pPr>
        <w:tabs>
          <w:tab w:val="num" w:pos="1440"/>
        </w:tabs>
        <w:ind w:left="1440" w:hanging="360"/>
      </w:pPr>
      <w:rPr>
        <w:rFonts w:ascii="Arial" w:hAnsi="Arial" w:hint="default"/>
      </w:rPr>
    </w:lvl>
    <w:lvl w:ilvl="2" w:tplc="4AE6DAD6" w:tentative="1">
      <w:start w:val="1"/>
      <w:numFmt w:val="bullet"/>
      <w:lvlText w:val="•"/>
      <w:lvlJc w:val="left"/>
      <w:pPr>
        <w:tabs>
          <w:tab w:val="num" w:pos="2160"/>
        </w:tabs>
        <w:ind w:left="2160" w:hanging="360"/>
      </w:pPr>
      <w:rPr>
        <w:rFonts w:ascii="Arial" w:hAnsi="Arial" w:hint="default"/>
      </w:rPr>
    </w:lvl>
    <w:lvl w:ilvl="3" w:tplc="0720D432" w:tentative="1">
      <w:start w:val="1"/>
      <w:numFmt w:val="bullet"/>
      <w:lvlText w:val="•"/>
      <w:lvlJc w:val="left"/>
      <w:pPr>
        <w:tabs>
          <w:tab w:val="num" w:pos="2880"/>
        </w:tabs>
        <w:ind w:left="2880" w:hanging="360"/>
      </w:pPr>
      <w:rPr>
        <w:rFonts w:ascii="Arial" w:hAnsi="Arial" w:hint="default"/>
      </w:rPr>
    </w:lvl>
    <w:lvl w:ilvl="4" w:tplc="29DC6B6C" w:tentative="1">
      <w:start w:val="1"/>
      <w:numFmt w:val="bullet"/>
      <w:lvlText w:val="•"/>
      <w:lvlJc w:val="left"/>
      <w:pPr>
        <w:tabs>
          <w:tab w:val="num" w:pos="3600"/>
        </w:tabs>
        <w:ind w:left="3600" w:hanging="360"/>
      </w:pPr>
      <w:rPr>
        <w:rFonts w:ascii="Arial" w:hAnsi="Arial" w:hint="default"/>
      </w:rPr>
    </w:lvl>
    <w:lvl w:ilvl="5" w:tplc="7FF8C708" w:tentative="1">
      <w:start w:val="1"/>
      <w:numFmt w:val="bullet"/>
      <w:lvlText w:val="•"/>
      <w:lvlJc w:val="left"/>
      <w:pPr>
        <w:tabs>
          <w:tab w:val="num" w:pos="4320"/>
        </w:tabs>
        <w:ind w:left="4320" w:hanging="360"/>
      </w:pPr>
      <w:rPr>
        <w:rFonts w:ascii="Arial" w:hAnsi="Arial" w:hint="default"/>
      </w:rPr>
    </w:lvl>
    <w:lvl w:ilvl="6" w:tplc="2272BD62" w:tentative="1">
      <w:start w:val="1"/>
      <w:numFmt w:val="bullet"/>
      <w:lvlText w:val="•"/>
      <w:lvlJc w:val="left"/>
      <w:pPr>
        <w:tabs>
          <w:tab w:val="num" w:pos="5040"/>
        </w:tabs>
        <w:ind w:left="5040" w:hanging="360"/>
      </w:pPr>
      <w:rPr>
        <w:rFonts w:ascii="Arial" w:hAnsi="Arial" w:hint="default"/>
      </w:rPr>
    </w:lvl>
    <w:lvl w:ilvl="7" w:tplc="DDCC9128" w:tentative="1">
      <w:start w:val="1"/>
      <w:numFmt w:val="bullet"/>
      <w:lvlText w:val="•"/>
      <w:lvlJc w:val="left"/>
      <w:pPr>
        <w:tabs>
          <w:tab w:val="num" w:pos="5760"/>
        </w:tabs>
        <w:ind w:left="5760" w:hanging="360"/>
      </w:pPr>
      <w:rPr>
        <w:rFonts w:ascii="Arial" w:hAnsi="Arial" w:hint="default"/>
      </w:rPr>
    </w:lvl>
    <w:lvl w:ilvl="8" w:tplc="388EFE8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249390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6270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3510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127913">
    <w:abstractNumId w:val="3"/>
  </w:num>
  <w:num w:numId="5" w16cid:durableId="19862290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269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9214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2500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06844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783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16333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11730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2499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5837932">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017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56428">
    <w:abstractNumId w:val="14"/>
  </w:num>
  <w:num w:numId="17" w16cid:durableId="1201091241">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493509">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2024894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351425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65065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6805293">
    <w:abstractNumId w:val="21"/>
  </w:num>
  <w:num w:numId="23" w16cid:durableId="323359254">
    <w:abstractNumId w:val="31"/>
  </w:num>
  <w:num w:numId="24" w16cid:durableId="1158882058">
    <w:abstractNumId w:val="11"/>
  </w:num>
  <w:num w:numId="25" w16cid:durableId="981078987">
    <w:abstractNumId w:val="19"/>
  </w:num>
  <w:num w:numId="26" w16cid:durableId="550771774">
    <w:abstractNumId w:val="15"/>
  </w:num>
  <w:num w:numId="27" w16cid:durableId="483930503">
    <w:abstractNumId w:val="20"/>
  </w:num>
  <w:num w:numId="28" w16cid:durableId="1273779062">
    <w:abstractNumId w:val="9"/>
  </w:num>
  <w:num w:numId="29" w16cid:durableId="1836799545">
    <w:abstractNumId w:val="25"/>
  </w:num>
  <w:num w:numId="30" w16cid:durableId="1289510146">
    <w:abstractNumId w:val="22"/>
  </w:num>
  <w:num w:numId="31" w16cid:durableId="2138791740">
    <w:abstractNumId w:val="33"/>
  </w:num>
  <w:num w:numId="32" w16cid:durableId="1683193850">
    <w:abstractNumId w:val="23"/>
  </w:num>
  <w:num w:numId="33" w16cid:durableId="1751580737">
    <w:abstractNumId w:val="6"/>
  </w:num>
  <w:num w:numId="34" w16cid:durableId="1215845532">
    <w:abstractNumId w:val="2"/>
  </w:num>
  <w:num w:numId="35" w16cid:durableId="1073313110">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084D"/>
    <w:rsid w:val="000D5B62"/>
    <w:rsid w:val="000E228A"/>
    <w:rsid w:val="000F7E90"/>
    <w:rsid w:val="0012309D"/>
    <w:rsid w:val="00170AD2"/>
    <w:rsid w:val="00185739"/>
    <w:rsid w:val="002376A2"/>
    <w:rsid w:val="002C5F29"/>
    <w:rsid w:val="002F2B8A"/>
    <w:rsid w:val="003011C7"/>
    <w:rsid w:val="00301AA8"/>
    <w:rsid w:val="00332BFC"/>
    <w:rsid w:val="00372DF7"/>
    <w:rsid w:val="00373CF0"/>
    <w:rsid w:val="003A3E8D"/>
    <w:rsid w:val="003B0939"/>
    <w:rsid w:val="003B7022"/>
    <w:rsid w:val="003F0C77"/>
    <w:rsid w:val="00484844"/>
    <w:rsid w:val="00534CAA"/>
    <w:rsid w:val="0053732B"/>
    <w:rsid w:val="005438CB"/>
    <w:rsid w:val="00593E4B"/>
    <w:rsid w:val="005F036A"/>
    <w:rsid w:val="006034EC"/>
    <w:rsid w:val="00603AC0"/>
    <w:rsid w:val="00605605"/>
    <w:rsid w:val="00610027"/>
    <w:rsid w:val="006338B1"/>
    <w:rsid w:val="006A3CC2"/>
    <w:rsid w:val="006B2ED2"/>
    <w:rsid w:val="007251EF"/>
    <w:rsid w:val="00783084"/>
    <w:rsid w:val="007A61F1"/>
    <w:rsid w:val="007F26C3"/>
    <w:rsid w:val="00805910"/>
    <w:rsid w:val="008259FB"/>
    <w:rsid w:val="008E7224"/>
    <w:rsid w:val="009073EC"/>
    <w:rsid w:val="009478FB"/>
    <w:rsid w:val="00951B77"/>
    <w:rsid w:val="00981913"/>
    <w:rsid w:val="009B7479"/>
    <w:rsid w:val="009C106D"/>
    <w:rsid w:val="009C583E"/>
    <w:rsid w:val="009F0488"/>
    <w:rsid w:val="00A039B0"/>
    <w:rsid w:val="00A25232"/>
    <w:rsid w:val="00A5134B"/>
    <w:rsid w:val="00A9460A"/>
    <w:rsid w:val="00AB677E"/>
    <w:rsid w:val="00AC0FC3"/>
    <w:rsid w:val="00AE44B6"/>
    <w:rsid w:val="00B019EA"/>
    <w:rsid w:val="00B24FB4"/>
    <w:rsid w:val="00BB507F"/>
    <w:rsid w:val="00C0102E"/>
    <w:rsid w:val="00C170A5"/>
    <w:rsid w:val="00C71D53"/>
    <w:rsid w:val="00CC76BD"/>
    <w:rsid w:val="00DB6D68"/>
    <w:rsid w:val="00DC40AB"/>
    <w:rsid w:val="00DE7AF9"/>
    <w:rsid w:val="00E94EC6"/>
    <w:rsid w:val="00ED6153"/>
    <w:rsid w:val="00EF0A00"/>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19C56"/>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AE44B6"/>
    <w:pPr>
      <w:spacing w:after="0" w:line="240" w:lineRule="auto"/>
    </w:pPr>
  </w:style>
  <w:style w:type="paragraph" w:styleId="NormalWeb">
    <w:name w:val="Normal (Web)"/>
    <w:basedOn w:val="Normal"/>
    <w:uiPriority w:val="99"/>
    <w:unhideWhenUsed/>
    <w:rsid w:val="00AE44B6"/>
    <w:pPr>
      <w:spacing w:before="100" w:beforeAutospacing="1" w:after="100" w:afterAutospacing="1"/>
    </w:pPr>
    <w:rPr>
      <w:rFonts w:eastAsiaTheme="minorHAnsi"/>
      <w:szCs w:val="24"/>
    </w:rPr>
  </w:style>
  <w:style w:type="character" w:styleId="Emphasis">
    <w:name w:val="Emphasis"/>
    <w:basedOn w:val="DefaultParagraphFont"/>
    <w:uiPriority w:val="20"/>
    <w:qFormat/>
    <w:rsid w:val="00AE44B6"/>
    <w:rPr>
      <w:i/>
      <w:iCs/>
    </w:rPr>
  </w:style>
  <w:style w:type="character" w:styleId="UnresolvedMention">
    <w:name w:val="Unresolved Mention"/>
    <w:basedOn w:val="DefaultParagraphFont"/>
    <w:uiPriority w:val="99"/>
    <w:semiHidden/>
    <w:unhideWhenUsed/>
    <w:rsid w:val="00CC76BD"/>
    <w:rPr>
      <w:color w:val="605E5C"/>
      <w:shd w:val="clear" w:color="auto" w:fill="E1DFDD"/>
    </w:rPr>
  </w:style>
  <w:style w:type="character" w:styleId="FollowedHyperlink">
    <w:name w:val="FollowedHyperlink"/>
    <w:basedOn w:val="DefaultParagraphFont"/>
    <w:uiPriority w:val="99"/>
    <w:semiHidden/>
    <w:unhideWhenUsed/>
    <w:rsid w:val="00A51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47946">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9289785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About-CMS/Agency-Information/Emergency/EPRO/Resources/State-resources" TargetMode="External"/><Relationship Id="rId13" Type="http://schemas.openxmlformats.org/officeDocument/2006/relationships/hyperlink" Target="https://www.cms.gov/files/document/appendix-pp-guidance-surveyor-long-term-care-faciliti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About-CMS/Agency-Information/Emergency/EPRO/Resources/State-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r204som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ms.gov/files/document/qso-20-41-all-revised-05262022.pdf"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SurveyCertEmergPrep/Emergency-Prep-Ru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6854-8E22-40AE-9972-9E357EDE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2022-12-14T15:52:00Z</dcterms:created>
  <dcterms:modified xsi:type="dcterms:W3CDTF">2022-12-14T15:57:00Z</dcterms:modified>
</cp:coreProperties>
</file>