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A277" w14:textId="66AAB83F" w:rsidR="00F522FA" w:rsidRPr="00DB61E7" w:rsidRDefault="00F522FA" w:rsidP="00F522FA">
      <w:pPr>
        <w:rPr>
          <w:rFonts w:cstheme="minorHAnsi"/>
          <w:b/>
          <w:bCs/>
          <w:sz w:val="28"/>
          <w:szCs w:val="28"/>
        </w:rPr>
      </w:pPr>
      <w:r w:rsidRPr="00DB61E7">
        <w:rPr>
          <w:rFonts w:cstheme="minorHAnsi"/>
          <w:b/>
          <w:bCs/>
          <w:sz w:val="28"/>
          <w:szCs w:val="28"/>
        </w:rPr>
        <w:t>Workforce Policy Weekly</w:t>
      </w:r>
    </w:p>
    <w:p w14:paraId="4D17900A" w14:textId="77777777" w:rsidR="00F522FA" w:rsidRPr="00C22D00" w:rsidRDefault="00F522FA" w:rsidP="00F522FA">
      <w:pPr>
        <w:rPr>
          <w:rFonts w:cstheme="minorHAnsi"/>
        </w:rPr>
      </w:pPr>
      <w:r w:rsidRPr="00C22D00">
        <w:rPr>
          <w:rFonts w:cstheme="minorHAnsi"/>
        </w:rPr>
        <w:t>March 10, 2023</w:t>
      </w:r>
    </w:p>
    <w:p w14:paraId="1BFD9D30" w14:textId="77777777" w:rsidR="00F522FA" w:rsidRPr="00C22D00" w:rsidRDefault="00F522FA" w:rsidP="00F522FA">
      <w:pPr>
        <w:rPr>
          <w:rFonts w:eastAsia="Times New Roman" w:cstheme="minorHAnsi"/>
          <w:b/>
          <w:bCs/>
        </w:rPr>
      </w:pPr>
    </w:p>
    <w:p w14:paraId="6B83EDD6" w14:textId="77777777" w:rsidR="00F522FA" w:rsidRPr="00C22D00" w:rsidRDefault="00F522FA" w:rsidP="00F522FA">
      <w:pPr>
        <w:rPr>
          <w:rFonts w:eastAsia="Times New Roman" w:cstheme="minorHAnsi"/>
        </w:rPr>
      </w:pPr>
      <w:r w:rsidRPr="00C22D00">
        <w:rPr>
          <w:rFonts w:eastAsia="Times New Roman" w:cstheme="minorHAnsi"/>
          <w:b/>
          <w:bCs/>
          <w:color w:val="000000"/>
          <w:shd w:val="clear" w:color="auto" w:fill="FFFFFF"/>
        </w:rPr>
        <w:t xml:space="preserve">Upcoming LeadingAge Policy Update Calls. All calls are at 3:30 PM ET. </w:t>
      </w:r>
      <w:r w:rsidRPr="00C22D00">
        <w:rPr>
          <w:rFonts w:eastAsia="Times New Roman" w:cstheme="minorHAnsi"/>
          <w:color w:val="000000"/>
          <w:shd w:val="clear" w:color="auto" w:fill="FFFFFF"/>
        </w:rPr>
        <w:t xml:space="preserve">We are finalizing arrangements for </w:t>
      </w:r>
      <w:r w:rsidRPr="00C22D00">
        <w:rPr>
          <w:rFonts w:eastAsia="Times New Roman" w:cstheme="minorHAnsi"/>
          <w:b/>
          <w:bCs/>
          <w:color w:val="000000"/>
          <w:shd w:val="clear" w:color="auto" w:fill="FFFFFF"/>
        </w:rPr>
        <w:t>Monday, March 13</w:t>
      </w:r>
      <w:r w:rsidRPr="00C22D00">
        <w:rPr>
          <w:rFonts w:eastAsia="Times New Roman" w:cstheme="minorHAnsi"/>
          <w:color w:val="000000"/>
          <w:shd w:val="clear" w:color="auto" w:fill="FFFFFF"/>
        </w:rPr>
        <w:t>. Among other topics the call updates will cover our ongoing conversations with CDC and details on the President’s proposed FY 2024 budget that have implications for aging services providers. On</w:t>
      </w:r>
      <w:r w:rsidRPr="00C22D00">
        <w:rPr>
          <w:rFonts w:eastAsia="Times New Roman" w:cstheme="minorHAnsi"/>
          <w:b/>
          <w:bCs/>
          <w:color w:val="000000"/>
          <w:shd w:val="clear" w:color="auto" w:fill="FFFFFF"/>
        </w:rPr>
        <w:t xml:space="preserve"> Wednesday, March 15, </w:t>
      </w:r>
      <w:r w:rsidRPr="00C22D00">
        <w:rPr>
          <w:rFonts w:eastAsia="Times New Roman" w:cstheme="minorHAnsi"/>
          <w:color w:val="000000"/>
          <w:shd w:val="clear" w:color="auto" w:fill="FFFFFF"/>
        </w:rPr>
        <w:t>Dr. Natalie Festa, Clinical Fellow, Yale University School of Medicine, will join us to talk about her research on climate threats and emergency preparedness in nursing homes.</w:t>
      </w:r>
      <w:r w:rsidRPr="00C22D00">
        <w:rPr>
          <w:rFonts w:eastAsia="Times New Roman" w:cstheme="minorHAnsi"/>
          <w:b/>
          <w:bCs/>
          <w:color w:val="000000"/>
          <w:shd w:val="clear" w:color="auto" w:fill="FFFFFF"/>
        </w:rPr>
        <w:t> </w:t>
      </w:r>
      <w:r w:rsidRPr="00C22D00">
        <w:rPr>
          <w:rFonts w:eastAsia="Times New Roman" w:cstheme="minorHAnsi"/>
        </w:rPr>
        <w:t>You can also find previous call recordings </w:t>
      </w:r>
      <w:hyperlink r:id="rId7" w:history="1">
        <w:r w:rsidRPr="00C22D00">
          <w:rPr>
            <w:rStyle w:val="Hyperlink"/>
            <w:rFonts w:eastAsia="Times New Roman" w:cstheme="minorHAnsi"/>
          </w:rPr>
          <w:t>here.</w:t>
        </w:r>
      </w:hyperlink>
      <w:r w:rsidRPr="00C22D00">
        <w:rPr>
          <w:rFonts w:eastAsia="Times New Roman" w:cstheme="minorHAnsi"/>
          <w:color w:val="000000"/>
        </w:rPr>
        <w:t> </w:t>
      </w:r>
      <w:r w:rsidRPr="00C22D00">
        <w:rPr>
          <w:rFonts w:eastAsia="Times New Roman" w:cstheme="minorHAnsi"/>
        </w:rPr>
        <w:t>Note that to access recordings of the calls you need a LeadingAge password. Any staff member of any LeadingAge member organization can set up a password to access previous calls and other “members only” content.</w:t>
      </w:r>
    </w:p>
    <w:p w14:paraId="3F481BCF" w14:textId="77777777" w:rsidR="00F522FA" w:rsidRPr="00C22D00" w:rsidRDefault="00F522FA" w:rsidP="00F522FA">
      <w:pPr>
        <w:rPr>
          <w:rFonts w:eastAsia="Times New Roman" w:cstheme="minorHAnsi"/>
        </w:rPr>
      </w:pPr>
    </w:p>
    <w:p w14:paraId="2BA0FC03" w14:textId="479CEDCB" w:rsidR="00CD6E65" w:rsidRPr="00CD6E65" w:rsidRDefault="00F522FA" w:rsidP="00CD6E65">
      <w:pPr>
        <w:rPr>
          <w:rFonts w:eastAsia="Times New Roman" w:cstheme="minorHAnsi"/>
        </w:rPr>
      </w:pPr>
      <w:r w:rsidRPr="00C22D00">
        <w:rPr>
          <w:rFonts w:eastAsia="Times New Roman" w:cstheme="minorHAnsi"/>
          <w:b/>
          <w:bCs/>
        </w:rPr>
        <w:t>President Releases 2024 Budget</w:t>
      </w:r>
      <w:r>
        <w:rPr>
          <w:rFonts w:eastAsia="Times New Roman" w:cstheme="minorHAnsi"/>
          <w:b/>
          <w:bCs/>
        </w:rPr>
        <w:t xml:space="preserve"> Request.</w:t>
      </w:r>
      <w:r w:rsidRPr="00C22D00">
        <w:rPr>
          <w:rFonts w:eastAsia="Times New Roman" w:cstheme="minorHAnsi"/>
          <w:b/>
          <w:bCs/>
        </w:rPr>
        <w:t xml:space="preserve"> </w:t>
      </w:r>
      <w:r w:rsidRPr="00C22D00">
        <w:rPr>
          <w:rFonts w:eastAsia="Times New Roman" w:cstheme="minorHAnsi"/>
        </w:rPr>
        <w:t xml:space="preserve">On March 9 the White House released and sent to Congress its </w:t>
      </w:r>
      <w:hyperlink r:id="rId8" w:history="1">
        <w:r w:rsidRPr="00C22D00">
          <w:rPr>
            <w:rStyle w:val="Hyperlink"/>
            <w:rFonts w:eastAsia="Times New Roman" w:cstheme="minorHAnsi"/>
          </w:rPr>
          <w:t>FY 2024 budget</w:t>
        </w:r>
      </w:hyperlink>
      <w:r w:rsidRPr="00C22D00">
        <w:rPr>
          <w:rFonts w:eastAsia="Times New Roman" w:cstheme="minorHAnsi"/>
        </w:rPr>
        <w:t xml:space="preserve"> </w:t>
      </w:r>
      <w:r>
        <w:rPr>
          <w:rFonts w:eastAsia="Times New Roman" w:cstheme="minorHAnsi"/>
        </w:rPr>
        <w:t>request</w:t>
      </w:r>
      <w:r w:rsidRPr="00C22D00">
        <w:rPr>
          <w:rFonts w:eastAsia="Times New Roman" w:cstheme="minorHAnsi"/>
        </w:rPr>
        <w:t xml:space="preserve">, accompanied by a series of fact sheets. Program and funding details will be released on Monday, March 13. The President’s budget </w:t>
      </w:r>
      <w:r>
        <w:rPr>
          <w:rFonts w:eastAsia="Times New Roman" w:cstheme="minorHAnsi"/>
        </w:rPr>
        <w:t xml:space="preserve">request </w:t>
      </w:r>
      <w:r w:rsidRPr="00C22D00">
        <w:rPr>
          <w:rFonts w:eastAsia="Times New Roman" w:cstheme="minorHAnsi"/>
        </w:rPr>
        <w:t xml:space="preserve">is never enacted as is by Congress, but it is considered a good indication of the Administration’s vision and policy direction/priorities. The proposed budget preserves Medicare’s solvency by raising taxes for high income individuals.  Several provisions in the budget indicate support for aging services providers and the people who use aging services, such as increased funding for more HUD Section 202 homes and an expansion of funding for Medicaid home and community-based services. </w:t>
      </w:r>
      <w:r w:rsidR="00CD6E65" w:rsidRPr="00CD6E65">
        <w:rPr>
          <w:rFonts w:eastAsia="Times New Roman" w:cstheme="minorHAnsi"/>
        </w:rPr>
        <w:t>Some additional relevant highlights include:</w:t>
      </w:r>
    </w:p>
    <w:p w14:paraId="4C5FB1C9" w14:textId="7017441D" w:rsidR="00F522FA" w:rsidRPr="00C22D00" w:rsidRDefault="00F522FA" w:rsidP="00F522FA">
      <w:pPr>
        <w:rPr>
          <w:rFonts w:eastAsia="Times New Roman" w:cstheme="minorHAnsi"/>
        </w:rPr>
      </w:pPr>
    </w:p>
    <w:p w14:paraId="0E3440D7" w14:textId="71E60A48" w:rsidR="00F522FA" w:rsidRPr="00F1282A" w:rsidRDefault="00F522FA" w:rsidP="00F1282A">
      <w:pPr>
        <w:pStyle w:val="ListParagraph"/>
        <w:numPr>
          <w:ilvl w:val="0"/>
          <w:numId w:val="44"/>
        </w:numPr>
        <w:rPr>
          <w:rFonts w:eastAsia="Times New Roman" w:cstheme="minorHAnsi"/>
        </w:rPr>
      </w:pPr>
      <w:r w:rsidRPr="00F1282A">
        <w:rPr>
          <w:rFonts w:cstheme="minorHAnsi"/>
          <w:b/>
          <w:bCs/>
          <w:i/>
          <w:iCs/>
        </w:rPr>
        <w:t xml:space="preserve">Workforce.  </w:t>
      </w:r>
      <w:r w:rsidRPr="00F1282A">
        <w:rPr>
          <w:rFonts w:cstheme="minorHAnsi"/>
        </w:rPr>
        <w:t xml:space="preserve">The budget summary indicates an awareness of the healthcare workforce crisis and includes some anticipated requests for increases in some existing programs. Specifically, the President requests $49.5 million more than the $350 million enacted last year for nursing education programs. A similar increase is also included to expand Registered Apprenticeship opportunities. Family caregiver programs are targeted for a relatively small increase. You can access an article, here with additional details, </w:t>
      </w:r>
      <w:hyperlink r:id="rId9" w:history="1">
        <w:r w:rsidRPr="00F1282A">
          <w:rPr>
            <w:rStyle w:val="Hyperlink"/>
            <w:rFonts w:cstheme="minorHAnsi"/>
          </w:rPr>
          <w:t>here</w:t>
        </w:r>
      </w:hyperlink>
      <w:r w:rsidRPr="00F1282A">
        <w:rPr>
          <w:rFonts w:cstheme="minorHAnsi"/>
        </w:rPr>
        <w:t>.</w:t>
      </w:r>
      <w:r w:rsidR="00F1282A">
        <w:rPr>
          <w:rFonts w:cstheme="minorHAnsi"/>
        </w:rPr>
        <w:br/>
      </w:r>
    </w:p>
    <w:p w14:paraId="23291BF0" w14:textId="50CE2C3F" w:rsidR="00F522FA" w:rsidRPr="00C22D00" w:rsidRDefault="00F522FA" w:rsidP="00F522FA">
      <w:pPr>
        <w:pStyle w:val="ListParagraph"/>
        <w:numPr>
          <w:ilvl w:val="0"/>
          <w:numId w:val="41"/>
        </w:numPr>
        <w:ind w:left="360"/>
        <w:rPr>
          <w:rFonts w:asciiTheme="minorHAnsi" w:eastAsia="Times New Roman" w:hAnsiTheme="minorHAnsi" w:cstheme="minorHAnsi"/>
        </w:rPr>
      </w:pPr>
      <w:r w:rsidRPr="00C22D00">
        <w:rPr>
          <w:rFonts w:asciiTheme="minorHAnsi" w:eastAsia="Times New Roman" w:hAnsiTheme="minorHAnsi" w:cstheme="minorHAnsi"/>
          <w:b/>
          <w:bCs/>
          <w:i/>
          <w:iCs/>
        </w:rPr>
        <w:t xml:space="preserve">Home and Community-Based Services. </w:t>
      </w:r>
      <w:r w:rsidRPr="00C22D00">
        <w:rPr>
          <w:rFonts w:asciiTheme="minorHAnsi" w:eastAsia="Times New Roman" w:hAnsiTheme="minorHAnsi" w:cstheme="minorHAnsi"/>
        </w:rPr>
        <w:t xml:space="preserve">The President’s budget includes an ongoing commitment to expanding home and community-based services by proposing an $150 billion investment over 10 years with specific mention of supporting the workforce. We are pleased that the President is continuing his commitment to expanding access to these vital services which include home care, assisted living, adult day, and other vital services that allow those who choose to remain in the community. This proposal mirrors the Better Care Better Jobs Act that was reintroduced in the House and Senate last month; take action to support the bill </w:t>
      </w:r>
      <w:hyperlink r:id="rId10" w:history="1">
        <w:r w:rsidRPr="00C22D00">
          <w:rPr>
            <w:rStyle w:val="Hyperlink"/>
            <w:rFonts w:asciiTheme="minorHAnsi" w:eastAsia="Times New Roman" w:hAnsiTheme="minorHAnsi" w:cstheme="minorHAnsi"/>
          </w:rPr>
          <w:t>here</w:t>
        </w:r>
      </w:hyperlink>
      <w:r w:rsidRPr="00C22D00">
        <w:rPr>
          <w:rFonts w:asciiTheme="minorHAnsi" w:eastAsia="Times New Roman" w:hAnsiTheme="minorHAnsi" w:cstheme="minorHAnsi"/>
          <w:color w:val="7030A0"/>
        </w:rPr>
        <w:t xml:space="preserve">. </w:t>
      </w:r>
      <w:r w:rsidR="00226928">
        <w:rPr>
          <w:rFonts w:asciiTheme="minorHAnsi" w:eastAsia="Times New Roman" w:hAnsiTheme="minorHAnsi" w:cstheme="minorHAnsi"/>
          <w:color w:val="7030A0"/>
        </w:rPr>
        <w:br/>
      </w:r>
    </w:p>
    <w:p w14:paraId="7B217B4F" w14:textId="77777777" w:rsidR="00F522FA" w:rsidRPr="00C22D00" w:rsidRDefault="00F522FA" w:rsidP="00F522FA">
      <w:pPr>
        <w:pStyle w:val="ListParagraph"/>
        <w:numPr>
          <w:ilvl w:val="0"/>
          <w:numId w:val="42"/>
        </w:numPr>
        <w:ind w:left="360"/>
        <w:rPr>
          <w:rFonts w:asciiTheme="minorHAnsi" w:hAnsiTheme="minorHAnsi" w:cstheme="minorHAnsi"/>
        </w:rPr>
      </w:pPr>
      <w:r w:rsidRPr="00C22D00">
        <w:rPr>
          <w:rFonts w:asciiTheme="minorHAnsi" w:hAnsiTheme="minorHAnsi" w:cstheme="minorHAnsi"/>
          <w:b/>
          <w:bCs/>
          <w:i/>
          <w:iCs/>
        </w:rPr>
        <w:t xml:space="preserve">Nursing Homes. </w:t>
      </w:r>
      <w:r w:rsidRPr="00C22D00">
        <w:rPr>
          <w:rFonts w:asciiTheme="minorHAnsi" w:hAnsiTheme="minorHAnsi" w:cstheme="minorHAnsi"/>
        </w:rPr>
        <w:t>The President requests $566 million for the discretionary CMS Survey and Certification Program, nearly a 40 percent increase above enacted funding, for nursing homes and other facilities’ health and safety inspection surveys. Although additional funding is allocated for survey and certification, there is no information included in the budget summary on additional funding for nursing homes to comply with survey requirements or for other uses. The budget summary also noted a robust agenda to “improve the safety and quality of nursing home care, including efforts to improve ownership transparency; address the backlog of complaint surveys and provide adequate funding to conduct nursing home inspections; increase the inspection of low-performing nursing homes via the special focus facilities program; and expand financial penalties for substandard facilities,” but provided no additional information or budget marks for these activities.</w:t>
      </w:r>
    </w:p>
    <w:p w14:paraId="4E847D95" w14:textId="108458B6" w:rsidR="00F522FA" w:rsidRPr="00C22D00" w:rsidRDefault="00F522FA" w:rsidP="00F522FA">
      <w:pPr>
        <w:pStyle w:val="ListParagraph"/>
        <w:numPr>
          <w:ilvl w:val="0"/>
          <w:numId w:val="43"/>
        </w:numPr>
        <w:ind w:left="360"/>
        <w:rPr>
          <w:rFonts w:asciiTheme="minorHAnsi" w:hAnsiTheme="minorHAnsi" w:cstheme="minorHAnsi"/>
        </w:rPr>
      </w:pPr>
      <w:r w:rsidRPr="00C22D00">
        <w:rPr>
          <w:rFonts w:asciiTheme="minorHAnsi" w:hAnsiTheme="minorHAnsi" w:cstheme="minorHAnsi"/>
          <w:b/>
          <w:bCs/>
          <w:i/>
          <w:iCs/>
        </w:rPr>
        <w:lastRenderedPageBreak/>
        <w:t>Immigration.</w:t>
      </w:r>
      <w:r w:rsidRPr="00C22D00">
        <w:rPr>
          <w:rFonts w:asciiTheme="minorHAnsi" w:hAnsiTheme="minorHAnsi" w:cstheme="minorHAnsi"/>
        </w:rPr>
        <w:t xml:space="preserve"> The budget requests $7.3 billion for the Office of Refugee Resettlement (ORR) to help rebuild the Nation’s refugee resettlement infrastructure and support the resettling of up to 125,000 refugees in 2024.  Further, it includes a request for $865 million for United States Citizenship and Immigration Services to process an increasing asylum caseload, reduce the historically high immigration benefit request backlog, support the Citizenship and Integration Grant Program, and improve refugee processing to advance the Administration’s goal of admitting 125,000 refugees.</w:t>
      </w:r>
      <w:r w:rsidR="00226928">
        <w:rPr>
          <w:rFonts w:asciiTheme="minorHAnsi" w:hAnsiTheme="minorHAnsi" w:cstheme="minorHAnsi"/>
        </w:rPr>
        <w:br/>
      </w:r>
    </w:p>
    <w:p w14:paraId="4BD2AEF2" w14:textId="77777777" w:rsidR="00F522FA" w:rsidRPr="00C22D00" w:rsidRDefault="00F522FA" w:rsidP="00F522FA">
      <w:pPr>
        <w:pStyle w:val="ListParagraph"/>
        <w:numPr>
          <w:ilvl w:val="0"/>
          <w:numId w:val="43"/>
        </w:numPr>
        <w:ind w:left="360"/>
        <w:rPr>
          <w:rFonts w:asciiTheme="minorHAnsi" w:hAnsiTheme="minorHAnsi" w:cstheme="minorHAnsi"/>
        </w:rPr>
      </w:pPr>
      <w:r w:rsidRPr="00C22D00">
        <w:rPr>
          <w:rFonts w:asciiTheme="minorHAnsi" w:hAnsiTheme="minorHAnsi" w:cstheme="minorHAnsi"/>
          <w:b/>
          <w:bCs/>
          <w:i/>
          <w:iCs/>
        </w:rPr>
        <w:t>Department of Labor.</w:t>
      </w:r>
      <w:r w:rsidRPr="00C22D00">
        <w:rPr>
          <w:rFonts w:asciiTheme="minorHAnsi" w:hAnsiTheme="minorHAnsi" w:cstheme="minorHAnsi"/>
        </w:rPr>
        <w:t xml:space="preserve"> The President calls on Congress to require all employers to provide paid sick days. The proposed budget would provide resources to administer and support wage and benefit requirements, address the classification of independent contractors, and increase penalties for labor law violations. The budget would expand access to paid Family and Medical Leave through a program administered by the Social Security Administration.</w:t>
      </w:r>
    </w:p>
    <w:p w14:paraId="6C8E5061" w14:textId="77777777" w:rsidR="00F522FA" w:rsidRPr="00C22D00" w:rsidRDefault="00F522FA" w:rsidP="00F522FA">
      <w:pPr>
        <w:pStyle w:val="ListParagraph"/>
        <w:ind w:left="360"/>
        <w:rPr>
          <w:rFonts w:asciiTheme="minorHAnsi" w:hAnsiTheme="minorHAnsi" w:cstheme="minorHAnsi"/>
        </w:rPr>
      </w:pPr>
    </w:p>
    <w:p w14:paraId="2AAE8A9B" w14:textId="77777777" w:rsidR="00F522FA" w:rsidRDefault="00F522FA" w:rsidP="00F522FA">
      <w:pPr>
        <w:pStyle w:val="ListParagraph"/>
        <w:ind w:left="0"/>
        <w:rPr>
          <w:rFonts w:asciiTheme="minorHAnsi" w:hAnsiTheme="minorHAnsi" w:cstheme="minorHAnsi"/>
        </w:rPr>
      </w:pPr>
      <w:r w:rsidRPr="00C22D00">
        <w:rPr>
          <w:rFonts w:asciiTheme="minorHAnsi" w:hAnsiTheme="minorHAnsi" w:cstheme="minorHAnsi"/>
        </w:rPr>
        <w:t>Again, this is just the first move in a long and complex set of discussions and negotiations that will determine the actual budget for the federal government next fiscal year.</w:t>
      </w:r>
    </w:p>
    <w:p w14:paraId="05082F68" w14:textId="77777777" w:rsidR="00F522FA" w:rsidRPr="00C22D00" w:rsidRDefault="00F522FA" w:rsidP="00F522FA">
      <w:pPr>
        <w:pStyle w:val="ListParagraph"/>
        <w:ind w:left="0"/>
        <w:rPr>
          <w:rFonts w:asciiTheme="minorHAnsi" w:hAnsiTheme="minorHAnsi" w:cstheme="minorHAnsi"/>
        </w:rPr>
      </w:pPr>
    </w:p>
    <w:p w14:paraId="260F6D1E" w14:textId="404C0034" w:rsidR="00F522FA" w:rsidRPr="00C22D00" w:rsidRDefault="00F522FA" w:rsidP="00F522FA">
      <w:pPr>
        <w:rPr>
          <w:rFonts w:cstheme="minorHAnsi"/>
          <w:i/>
          <w:iCs/>
        </w:rPr>
      </w:pPr>
      <w:r w:rsidRPr="00C22D00">
        <w:rPr>
          <w:rFonts w:eastAsia="Times New Roman" w:cstheme="minorHAnsi"/>
          <w:b/>
          <w:bCs/>
        </w:rPr>
        <w:t>Aging Committee Hearing, Highlights Direct Care Workers Shortage, and the Chairman’s New Bill to Address Medicaid HCBS and Support for Caregivers.</w:t>
      </w:r>
      <w:r w:rsidRPr="00C22D00">
        <w:rPr>
          <w:rFonts w:eastAsia="Times New Roman" w:cstheme="minorHAnsi"/>
        </w:rPr>
        <w:t xml:space="preserve"> On March 9, the Senate Special Committee on Aging held a hearing, “Uplifting Families, Workers, and Older Adults: Supporting Communities of Care” which examined the economic benefit of investing in Medicaid home and community-based services, improving the direct care workers shortage and the caregiver crisis. During the hearing, Committee on Aging Chairman Bob Casey (D-PA), unveiled a new bill, the </w:t>
      </w:r>
      <w:r w:rsidRPr="00C22D00">
        <w:rPr>
          <w:rFonts w:eastAsia="Times New Roman" w:cstheme="minorHAnsi"/>
          <w:i/>
          <w:iCs/>
        </w:rPr>
        <w:t>HCBS Access Act</w:t>
      </w:r>
      <w:r w:rsidRPr="00C22D00">
        <w:rPr>
          <w:rFonts w:eastAsia="Times New Roman" w:cstheme="minorHAnsi"/>
        </w:rPr>
        <w:t xml:space="preserve">, which includes an expansion of home-and-community based (HCBS) services sorely needed to ensure that older adults can receive services across the care continuum. It also increases the Medicaid Federal Medical Assistance Percentage (FMAP) for HCBS to 100%. To receive the enhanced match, states must enhance, expand, or strengthen HCBS services. Additionally, it provides $2 million dollars a year for 5 years, for the Administration for Community Living to establish a Technical Assistance Center for building the direct care workforce, and allocates $1 billion dollars, over five years, for Direct Care Workforce Competitive Grant Initiative. An article can be accessed </w:t>
      </w:r>
      <w:hyperlink r:id="rId11" w:history="1">
        <w:r w:rsidRPr="00791286">
          <w:rPr>
            <w:rStyle w:val="Hyperlink"/>
            <w:rFonts w:eastAsia="Times New Roman" w:cstheme="minorHAnsi"/>
          </w:rPr>
          <w:t>here</w:t>
        </w:r>
      </w:hyperlink>
      <w:r w:rsidRPr="00C22D00">
        <w:rPr>
          <w:rFonts w:eastAsia="Times New Roman" w:cstheme="minorHAnsi"/>
        </w:rPr>
        <w:t xml:space="preserve">, for additional information on the haring and the </w:t>
      </w:r>
      <w:r w:rsidRPr="00C22D00">
        <w:rPr>
          <w:rFonts w:eastAsia="Times New Roman" w:cstheme="minorHAnsi"/>
          <w:i/>
          <w:iCs/>
        </w:rPr>
        <w:t>HCBS Access Act.</w:t>
      </w:r>
      <w:r w:rsidR="00226928">
        <w:rPr>
          <w:rFonts w:eastAsia="Times New Roman" w:cstheme="minorHAnsi"/>
          <w:i/>
          <w:iCs/>
        </w:rPr>
        <w:br/>
      </w:r>
    </w:p>
    <w:p w14:paraId="38D9E48D" w14:textId="3EB0ACAC" w:rsidR="00F522FA" w:rsidRPr="00C22D00" w:rsidRDefault="00F522FA" w:rsidP="00F522FA">
      <w:pPr>
        <w:pStyle w:val="ListParagraph"/>
        <w:ind w:left="0"/>
        <w:rPr>
          <w:rFonts w:asciiTheme="minorHAnsi" w:eastAsia="Times New Roman" w:hAnsiTheme="minorHAnsi" w:cstheme="minorHAnsi"/>
        </w:rPr>
      </w:pPr>
      <w:r w:rsidRPr="00C22D00">
        <w:rPr>
          <w:rFonts w:asciiTheme="minorHAnsi" w:eastAsia="Times New Roman" w:hAnsiTheme="minorHAnsi" w:cstheme="minorHAnsi"/>
          <w:b/>
          <w:bCs/>
        </w:rPr>
        <w:t>LeadingAge Co-signs Letter Opposing Proposed Immigration Services Fee Schedule Changes</w:t>
      </w:r>
      <w:r w:rsidRPr="00C22D00">
        <w:rPr>
          <w:rFonts w:asciiTheme="minorHAnsi" w:eastAsia="Times New Roman" w:hAnsiTheme="minorHAnsi" w:cstheme="minorHAnsi"/>
        </w:rPr>
        <w:t xml:space="preserve">. LeadingAge joined other health and long-term care services and support organizations to send a March 6 letter to the Department of Homeland Security on its </w:t>
      </w:r>
      <w:hyperlink r:id="rId12" w:history="1">
        <w:r w:rsidRPr="00C22D00">
          <w:rPr>
            <w:rStyle w:val="Hyperlink"/>
            <w:rFonts w:asciiTheme="minorHAnsi" w:eastAsia="Times New Roman" w:hAnsiTheme="minorHAnsi" w:cstheme="minorHAnsi"/>
          </w:rPr>
          <w:t>proposed</w:t>
        </w:r>
      </w:hyperlink>
      <w:r w:rsidRPr="00C22D00">
        <w:rPr>
          <w:rFonts w:asciiTheme="minorHAnsi" w:eastAsia="Times New Roman" w:hAnsiTheme="minorHAnsi" w:cstheme="minorHAnsi"/>
        </w:rPr>
        <w:t xml:space="preserve"> increases to immigration and naturalization benefit request fees charged by the U.S. Citizenship and Immigration Services (USCIS). Twenty national organizations signed the letter. With 1 in 4 direct care workers born outside of the U.S., the letter reiterates LeadingAge’s strong support of our nation’s immigrants who make up a large portion of the long-term care workforce. The “increased fees could take a toll on long-term care communities that rely heavily on immigrants to care for their residents,” the letter says. The letter asks USCIS to consider implementing operational changes to save costs and offers ideas for consideration. Additionally, the letter urges USCIS to focus on ways to expediate immigrant visa processing to bring much-needed health care workers to the U.S. and requests USCIS continue its work to address delays in the “file transfer” associated with premium processing of I-140 Immigrant Petitions for Registered Nurses. The letter can be accessed </w:t>
      </w:r>
      <w:hyperlink r:id="rId13" w:history="1">
        <w:r w:rsidRPr="00C22D00">
          <w:rPr>
            <w:rStyle w:val="Hyperlink"/>
            <w:rFonts w:asciiTheme="minorHAnsi" w:eastAsia="Times New Roman" w:hAnsiTheme="minorHAnsi" w:cstheme="minorHAnsi"/>
          </w:rPr>
          <w:t>here</w:t>
        </w:r>
      </w:hyperlink>
      <w:r w:rsidRPr="00C22D00">
        <w:rPr>
          <w:rFonts w:asciiTheme="minorHAnsi" w:eastAsia="Times New Roman" w:hAnsiTheme="minorHAnsi" w:cstheme="minorHAnsi"/>
        </w:rPr>
        <w:t>.</w:t>
      </w:r>
      <w:r w:rsidR="00226928">
        <w:rPr>
          <w:rFonts w:asciiTheme="minorHAnsi" w:eastAsia="Times New Roman" w:hAnsiTheme="minorHAnsi" w:cstheme="minorHAnsi"/>
        </w:rPr>
        <w:br/>
      </w:r>
    </w:p>
    <w:p w14:paraId="1A21C819" w14:textId="602694DC" w:rsidR="00F522FA" w:rsidRPr="00C22D00" w:rsidRDefault="00F522FA" w:rsidP="00F522FA">
      <w:pPr>
        <w:rPr>
          <w:rFonts w:eastAsia="Times New Roman" w:cstheme="minorHAnsi"/>
        </w:rPr>
      </w:pPr>
      <w:r w:rsidRPr="00C22D00">
        <w:rPr>
          <w:rFonts w:eastAsia="Times New Roman" w:cstheme="minorHAnsi"/>
          <w:b/>
          <w:bCs/>
        </w:rPr>
        <w:t>Employee Retention Credit: Resources from FORVIS</w:t>
      </w:r>
      <w:r w:rsidRPr="00C22D00">
        <w:rPr>
          <w:rFonts w:eastAsia="Times New Roman" w:cstheme="minorHAnsi"/>
        </w:rPr>
        <w:t xml:space="preserve">. Our partners at FORVIS have shared a couple very helpful resources related to the employee retention credit (ERC): a free </w:t>
      </w:r>
      <w:hyperlink r:id="rId14" w:history="1">
        <w:r w:rsidRPr="00C22D00">
          <w:rPr>
            <w:rStyle w:val="Hyperlink"/>
            <w:rFonts w:eastAsia="Times New Roman" w:cstheme="minorHAnsi"/>
          </w:rPr>
          <w:t>webinar</w:t>
        </w:r>
      </w:hyperlink>
      <w:r w:rsidRPr="00C22D00">
        <w:rPr>
          <w:rFonts w:eastAsia="Times New Roman" w:cstheme="minorHAnsi"/>
        </w:rPr>
        <w:t xml:space="preserve"> on applying the ERC to long-term care (LTC) settings, and an </w:t>
      </w:r>
      <w:hyperlink r:id="rId15" w:history="1">
        <w:r w:rsidRPr="00C22D00">
          <w:rPr>
            <w:rStyle w:val="Hyperlink"/>
            <w:rFonts w:eastAsia="Times New Roman" w:cstheme="minorHAnsi"/>
          </w:rPr>
          <w:t>article</w:t>
        </w:r>
      </w:hyperlink>
      <w:r w:rsidRPr="00C22D00">
        <w:rPr>
          <w:rFonts w:eastAsia="Times New Roman" w:cstheme="minorHAnsi"/>
        </w:rPr>
        <w:t xml:space="preserve"> on how to satisfy the IRS requirements for documentation </w:t>
      </w:r>
      <w:r w:rsidRPr="00C22D00">
        <w:rPr>
          <w:rFonts w:eastAsia="Times New Roman" w:cstheme="minorHAnsi"/>
        </w:rPr>
        <w:lastRenderedPageBreak/>
        <w:t xml:space="preserve">and substantiation. The webinar’s relevant highlights for members include how to evaluate whether a government order applies; specific examples of partial suspension of business operations (e.g., CMS orders restricting visitors, third party service providers, and occupancy;) and how to show a measurable decline that satisfies “nominal impact,” such as a decline in census or patient days. Additionally, the webinar talks about how to claim the Paycheck Protection Program (PPP) and ERC correctly for the same eligible quarters, and the importance of including healthcare benefits paid into the wage calculations. The article, entitled “Checking ERC Claims Before the IRS Does,” offers helpful, concrete preparatory steps providers can take ahead of an IRS audit, what the IRS is looking for (eligibility, documentation of substantiation and corrections to adjusted income tax returns,) and the kind of documentation the IRS looks for in an audit (e.g., payroll journals, amount of employee wages paid, evidence of significant decline in gross receipts, etc.,) and what to do if an employer has already filed and needs to amend a return. Both resources offer members additional insights into the ERC application process for LTC providers and answer key questions members pose frequently about the IRS and the risk of audit. FORVIS is a national accounting firm that specializes in healthcare services accounting and is a </w:t>
      </w:r>
      <w:proofErr w:type="gramStart"/>
      <w:r w:rsidRPr="00C22D00">
        <w:rPr>
          <w:rFonts w:eastAsia="Times New Roman" w:cstheme="minorHAnsi"/>
        </w:rPr>
        <w:t>Bronze</w:t>
      </w:r>
      <w:proofErr w:type="gramEnd"/>
      <w:r w:rsidRPr="00C22D00">
        <w:rPr>
          <w:rFonts w:eastAsia="Times New Roman" w:cstheme="minorHAnsi"/>
        </w:rPr>
        <w:t xml:space="preserve"> partner of LeadingAge. </w:t>
      </w:r>
      <w:r w:rsidR="00E2300B">
        <w:rPr>
          <w:rFonts w:eastAsia="Times New Roman" w:cstheme="minorHAnsi"/>
        </w:rPr>
        <w:br/>
      </w:r>
    </w:p>
    <w:p w14:paraId="1D061684" w14:textId="69C081FF" w:rsidR="00E2300B" w:rsidRPr="00924379" w:rsidRDefault="00F522FA" w:rsidP="00E2300B">
      <w:pPr>
        <w:pStyle w:val="NoSpacing"/>
        <w:rPr>
          <w:rFonts w:eastAsia="Times New Roman" w:cstheme="minorHAnsi"/>
        </w:rPr>
      </w:pPr>
      <w:r w:rsidRPr="00C22D00">
        <w:rPr>
          <w:rFonts w:eastAsia="Times New Roman" w:cstheme="minorHAnsi"/>
          <w:b/>
          <w:bCs/>
        </w:rPr>
        <w:t xml:space="preserve">OSHA Convenes Small Business Panel for Review of Possible Workplace Violence Rule. </w:t>
      </w:r>
      <w:r w:rsidRPr="00C22D00">
        <w:rPr>
          <w:rFonts w:eastAsia="Times New Roman" w:cstheme="minorHAnsi"/>
        </w:rPr>
        <w:t xml:space="preserve">On March 1 the Occupational Safety and Health Administration (OSHA) formally convened </w:t>
      </w:r>
      <w:hyperlink r:id="rId16" w:history="1">
        <w:r w:rsidRPr="00C22D00">
          <w:rPr>
            <w:rStyle w:val="Hyperlink"/>
            <w:rFonts w:eastAsia="Times New Roman" w:cstheme="minorHAnsi"/>
          </w:rPr>
          <w:t>a Small Business Advocacy Review (SBAR) panel to obtain feedback about a possible future rule relating to prevention of workplace violence in healthcare and social assistance settings</w:t>
        </w:r>
      </w:hyperlink>
      <w:r w:rsidRPr="00C22D00">
        <w:rPr>
          <w:rFonts w:eastAsia="Times New Roman" w:cstheme="minorHAnsi"/>
        </w:rPr>
        <w:t xml:space="preserve">. OSHA has not formally issued a proposed rule at this stage, but it has developed a framework relating to workplace violence prevention – specifically, </w:t>
      </w:r>
      <w:r w:rsidRPr="00C22D00">
        <w:rPr>
          <w:rFonts w:eastAsia="Times New Roman" w:cstheme="minorHAnsi"/>
          <w:color w:val="000000"/>
          <w:shd w:val="clear" w:color="auto" w:fill="FFFFFF"/>
        </w:rPr>
        <w:t xml:space="preserve">violence perpetrated by patients, clients, and visitors toward employees – </w:t>
      </w:r>
      <w:r w:rsidRPr="00C22D00">
        <w:rPr>
          <w:rFonts w:eastAsia="Times New Roman" w:cstheme="minorHAnsi"/>
        </w:rPr>
        <w:t>that shows its thinking about what a proposed rule could include in the future. OSHA’s initial framework would apply to a wide range of healthcare and aging services settings, including home health agencies, assisted living, life plan communities, and nursing homes. The initial framework also includes a category called “social assistance” settings, which appears to include adult day services. The panel is made up of staff from OSHA, the Small Business Administration, and the White House Office of Management and Budget. Representatives of small businesses and small governmental jurisdictions will also participate – a group that will include several representatives of aging services providers, including a LeadingAge member. The SBAR panel will hold meetings in March 2023 and generate a report by May 1. Any interested parties may submit comments to OSHA, and LeadingAge will seek input from our members about the issues and alternatives OSHA is considering. We will provide additional information and analysis soon.</w:t>
      </w:r>
    </w:p>
    <w:p w14:paraId="18878F9A" w14:textId="6B9AC7A5" w:rsidR="00867DCA" w:rsidRDefault="00867DCA" w:rsidP="002E1C6F"/>
    <w:sectPr w:rsidR="00867DCA" w:rsidSect="002E660F">
      <w:footerReference w:type="default" r:id="rId17"/>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DC0B" w14:textId="77777777" w:rsidR="00FD5D9B" w:rsidRDefault="00FD5D9B" w:rsidP="002E660F">
      <w:r>
        <w:separator/>
      </w:r>
    </w:p>
  </w:endnote>
  <w:endnote w:type="continuationSeparator" w:id="0">
    <w:p w14:paraId="5E03B1DC" w14:textId="77777777" w:rsidR="00FD5D9B" w:rsidRDefault="00FD5D9B" w:rsidP="002E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631A" w14:textId="77777777" w:rsidR="00D146FD" w:rsidRDefault="00D14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DC33" w14:textId="77777777" w:rsidR="00FD5D9B" w:rsidRDefault="00FD5D9B" w:rsidP="002E660F">
      <w:r>
        <w:separator/>
      </w:r>
    </w:p>
  </w:footnote>
  <w:footnote w:type="continuationSeparator" w:id="0">
    <w:p w14:paraId="0CC1561C" w14:textId="77777777" w:rsidR="00FD5D9B" w:rsidRDefault="00FD5D9B" w:rsidP="002E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D1EA" w14:textId="77777777" w:rsidR="002E660F" w:rsidRDefault="002E660F">
    <w:pPr>
      <w:pStyle w:val="Header"/>
    </w:pPr>
    <w:r>
      <w:rPr>
        <w:noProof/>
      </w:rPr>
      <w:drawing>
        <wp:anchor distT="0" distB="0" distL="114300" distR="114300" simplePos="0" relativeHeight="251658240" behindDoc="1" locked="1" layoutInCell="1" allowOverlap="0" wp14:anchorId="435A081E" wp14:editId="6FF6454E">
          <wp:simplePos x="0" y="0"/>
          <wp:positionH relativeFrom="column">
            <wp:align>center</wp:align>
          </wp:positionH>
          <wp:positionV relativeFrom="page">
            <wp:align>center</wp:align>
          </wp:positionV>
          <wp:extent cx="7772400" cy="100584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DF0"/>
    <w:multiLevelType w:val="hybridMultilevel"/>
    <w:tmpl w:val="73EED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4735EC"/>
    <w:multiLevelType w:val="hybridMultilevel"/>
    <w:tmpl w:val="C4884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A3460F"/>
    <w:multiLevelType w:val="hybridMultilevel"/>
    <w:tmpl w:val="F6EEB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F1514D"/>
    <w:multiLevelType w:val="multilevel"/>
    <w:tmpl w:val="65CC9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66645"/>
    <w:multiLevelType w:val="hybridMultilevel"/>
    <w:tmpl w:val="4CD28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503D7A"/>
    <w:multiLevelType w:val="hybridMultilevel"/>
    <w:tmpl w:val="71F6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A1373"/>
    <w:multiLevelType w:val="hybridMultilevel"/>
    <w:tmpl w:val="BFBA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733A9"/>
    <w:multiLevelType w:val="hybridMultilevel"/>
    <w:tmpl w:val="2CCA97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D3C3B59"/>
    <w:multiLevelType w:val="multilevel"/>
    <w:tmpl w:val="B65203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F1B1497"/>
    <w:multiLevelType w:val="hybridMultilevel"/>
    <w:tmpl w:val="D4B6E978"/>
    <w:lvl w:ilvl="0" w:tplc="04090001">
      <w:start w:val="1"/>
      <w:numFmt w:val="bullet"/>
      <w:lvlText w:val=""/>
      <w:lvlJc w:val="left"/>
      <w:pPr>
        <w:ind w:left="1080" w:hanging="360"/>
      </w:pPr>
      <w:rPr>
        <w:rFonts w:ascii="Symbol" w:hAnsi="Symbol" w:hint="default"/>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210C7366"/>
    <w:multiLevelType w:val="hybridMultilevel"/>
    <w:tmpl w:val="DE2E2C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1BF49B3"/>
    <w:multiLevelType w:val="hybridMultilevel"/>
    <w:tmpl w:val="56CC3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2AE2385"/>
    <w:multiLevelType w:val="hybridMultilevel"/>
    <w:tmpl w:val="99D87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33143E7"/>
    <w:multiLevelType w:val="hybridMultilevel"/>
    <w:tmpl w:val="6B528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9381698"/>
    <w:multiLevelType w:val="hybridMultilevel"/>
    <w:tmpl w:val="EDD6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C5B6D"/>
    <w:multiLevelType w:val="multilevel"/>
    <w:tmpl w:val="6EE82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C142F"/>
    <w:multiLevelType w:val="hybridMultilevel"/>
    <w:tmpl w:val="EC6A2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666005"/>
    <w:multiLevelType w:val="multilevel"/>
    <w:tmpl w:val="F2EAAB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E2D3243"/>
    <w:multiLevelType w:val="multilevel"/>
    <w:tmpl w:val="F2EAA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013E2"/>
    <w:multiLevelType w:val="hybridMultilevel"/>
    <w:tmpl w:val="E312E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5863B2"/>
    <w:multiLevelType w:val="hybridMultilevel"/>
    <w:tmpl w:val="00D8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327FA"/>
    <w:multiLevelType w:val="hybridMultilevel"/>
    <w:tmpl w:val="B29E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032A8"/>
    <w:multiLevelType w:val="hybridMultilevel"/>
    <w:tmpl w:val="FF62EB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BD61DCB"/>
    <w:multiLevelType w:val="hybridMultilevel"/>
    <w:tmpl w:val="6432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95628"/>
    <w:multiLevelType w:val="multilevel"/>
    <w:tmpl w:val="25CAF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82D1B"/>
    <w:multiLevelType w:val="multilevel"/>
    <w:tmpl w:val="3228A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865850"/>
    <w:multiLevelType w:val="hybridMultilevel"/>
    <w:tmpl w:val="9B744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32150CA"/>
    <w:multiLevelType w:val="hybridMultilevel"/>
    <w:tmpl w:val="58B8E4B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8" w15:restartNumberingAfterBreak="0">
    <w:nsid w:val="5A7F0FFF"/>
    <w:multiLevelType w:val="hybridMultilevel"/>
    <w:tmpl w:val="720474F4"/>
    <w:lvl w:ilvl="0" w:tplc="5EBA8A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EAA64F7"/>
    <w:multiLevelType w:val="hybridMultilevel"/>
    <w:tmpl w:val="6E005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CF64BB"/>
    <w:multiLevelType w:val="multilevel"/>
    <w:tmpl w:val="3754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E5877"/>
    <w:multiLevelType w:val="hybridMultilevel"/>
    <w:tmpl w:val="142072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47E7C14"/>
    <w:multiLevelType w:val="hybridMultilevel"/>
    <w:tmpl w:val="C5C80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65D5980"/>
    <w:multiLevelType w:val="hybridMultilevel"/>
    <w:tmpl w:val="9ECA39C2"/>
    <w:lvl w:ilvl="0" w:tplc="11647438">
      <w:start w:val="1"/>
      <w:numFmt w:val="decimal"/>
      <w:lvlText w:val="%1."/>
      <w:lvlJc w:val="left"/>
      <w:pPr>
        <w:ind w:left="81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660B12"/>
    <w:multiLevelType w:val="hybridMultilevel"/>
    <w:tmpl w:val="C5B2D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874791D"/>
    <w:multiLevelType w:val="hybridMultilevel"/>
    <w:tmpl w:val="5422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C13BA"/>
    <w:multiLevelType w:val="hybridMultilevel"/>
    <w:tmpl w:val="12A0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04344"/>
    <w:multiLevelType w:val="hybridMultilevel"/>
    <w:tmpl w:val="A3BE4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35E21D0"/>
    <w:multiLevelType w:val="multilevel"/>
    <w:tmpl w:val="A978E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A3082"/>
    <w:multiLevelType w:val="multilevel"/>
    <w:tmpl w:val="62BAC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4D7005"/>
    <w:multiLevelType w:val="multilevel"/>
    <w:tmpl w:val="935A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C07B0"/>
    <w:multiLevelType w:val="hybridMultilevel"/>
    <w:tmpl w:val="1A323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813AF"/>
    <w:multiLevelType w:val="hybridMultilevel"/>
    <w:tmpl w:val="8420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4457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7937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117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1052429">
    <w:abstractNumId w:val="1"/>
  </w:num>
  <w:num w:numId="5" w16cid:durableId="1249804033">
    <w:abstractNumId w:val="23"/>
  </w:num>
  <w:num w:numId="6" w16cid:durableId="2061779361">
    <w:abstractNumId w:val="20"/>
  </w:num>
  <w:num w:numId="7" w16cid:durableId="17019330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0737500">
    <w:abstractNumId w:val="31"/>
  </w:num>
  <w:num w:numId="9" w16cid:durableId="242378885">
    <w:abstractNumId w:val="0"/>
  </w:num>
  <w:num w:numId="10" w16cid:durableId="1962952819">
    <w:abstractNumId w:val="24"/>
  </w:num>
  <w:num w:numId="11" w16cid:durableId="2123458534">
    <w:abstractNumId w:val="27"/>
  </w:num>
  <w:num w:numId="12" w16cid:durableId="2074959294">
    <w:abstractNumId w:val="25"/>
  </w:num>
  <w:num w:numId="13" w16cid:durableId="2050034938">
    <w:abstractNumId w:val="35"/>
  </w:num>
  <w:num w:numId="14" w16cid:durableId="209853389">
    <w:abstractNumId w:val="42"/>
  </w:num>
  <w:num w:numId="15" w16cid:durableId="779570682">
    <w:abstractNumId w:val="5"/>
  </w:num>
  <w:num w:numId="16" w16cid:durableId="604652361">
    <w:abstractNumId w:val="19"/>
  </w:num>
  <w:num w:numId="17" w16cid:durableId="1614097478">
    <w:abstractNumId w:val="30"/>
  </w:num>
  <w:num w:numId="18" w16cid:durableId="715278398">
    <w:abstractNumId w:val="32"/>
  </w:num>
  <w:num w:numId="19" w16cid:durableId="958533007">
    <w:abstractNumId w:val="13"/>
  </w:num>
  <w:num w:numId="20" w16cid:durableId="1342664454">
    <w:abstractNumId w:val="12"/>
  </w:num>
  <w:num w:numId="21" w16cid:durableId="347293865">
    <w:abstractNumId w:val="36"/>
  </w:num>
  <w:num w:numId="22" w16cid:durableId="996835032">
    <w:abstractNumId w:val="41"/>
  </w:num>
  <w:num w:numId="23" w16cid:durableId="32466593">
    <w:abstractNumId w:val="17"/>
  </w:num>
  <w:num w:numId="24" w16cid:durableId="1437674389">
    <w:abstractNumId w:val="39"/>
  </w:num>
  <w:num w:numId="25" w16cid:durableId="20058874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0364019">
    <w:abstractNumId w:val="18"/>
  </w:num>
  <w:num w:numId="27" w16cid:durableId="527447833">
    <w:abstractNumId w:val="6"/>
  </w:num>
  <w:num w:numId="28" w16cid:durableId="4986083">
    <w:abstractNumId w:val="3"/>
  </w:num>
  <w:num w:numId="29" w16cid:durableId="1823736262">
    <w:abstractNumId w:val="40"/>
  </w:num>
  <w:num w:numId="30" w16cid:durableId="16218357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1981712">
    <w:abstractNumId w:val="14"/>
  </w:num>
  <w:num w:numId="32" w16cid:durableId="751003423">
    <w:abstractNumId w:val="22"/>
  </w:num>
  <w:num w:numId="33" w16cid:durableId="1321806058">
    <w:abstractNumId w:val="29"/>
  </w:num>
  <w:num w:numId="34" w16cid:durableId="1160464924">
    <w:abstractNumId w:val="15"/>
  </w:num>
  <w:num w:numId="35" w16cid:durableId="739250642">
    <w:abstractNumId w:val="10"/>
  </w:num>
  <w:num w:numId="36" w16cid:durableId="1451588881">
    <w:abstractNumId w:val="8"/>
  </w:num>
  <w:num w:numId="37" w16cid:durableId="962930654">
    <w:abstractNumId w:val="7"/>
  </w:num>
  <w:num w:numId="38" w16cid:durableId="1684356871">
    <w:abstractNumId w:val="33"/>
  </w:num>
  <w:num w:numId="39" w16cid:durableId="184248582">
    <w:abstractNumId w:val="21"/>
  </w:num>
  <w:num w:numId="40" w16cid:durableId="294334264">
    <w:abstractNumId w:val="38"/>
  </w:num>
  <w:num w:numId="41" w16cid:durableId="1634866920">
    <w:abstractNumId w:val="11"/>
  </w:num>
  <w:num w:numId="42" w16cid:durableId="2030061077">
    <w:abstractNumId w:val="26"/>
  </w:num>
  <w:num w:numId="43" w16cid:durableId="1559901444">
    <w:abstractNumId w:val="16"/>
  </w:num>
  <w:num w:numId="44" w16cid:durableId="10996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32"/>
    <w:rsid w:val="00001B5C"/>
    <w:rsid w:val="00015052"/>
    <w:rsid w:val="0003173E"/>
    <w:rsid w:val="0003643F"/>
    <w:rsid w:val="000416D7"/>
    <w:rsid w:val="000437E9"/>
    <w:rsid w:val="00053F7B"/>
    <w:rsid w:val="00063375"/>
    <w:rsid w:val="000816B7"/>
    <w:rsid w:val="000862BB"/>
    <w:rsid w:val="00093140"/>
    <w:rsid w:val="000A1B9C"/>
    <w:rsid w:val="000A7A32"/>
    <w:rsid w:val="000C5EFB"/>
    <w:rsid w:val="001124D6"/>
    <w:rsid w:val="0012700F"/>
    <w:rsid w:val="0015564B"/>
    <w:rsid w:val="001720E5"/>
    <w:rsid w:val="0019630C"/>
    <w:rsid w:val="001A2919"/>
    <w:rsid w:val="001A7502"/>
    <w:rsid w:val="001A7BB3"/>
    <w:rsid w:val="001B1D0B"/>
    <w:rsid w:val="001B26E6"/>
    <w:rsid w:val="001D7839"/>
    <w:rsid w:val="00204B02"/>
    <w:rsid w:val="002146DD"/>
    <w:rsid w:val="00226928"/>
    <w:rsid w:val="0026217F"/>
    <w:rsid w:val="00262E41"/>
    <w:rsid w:val="002675FA"/>
    <w:rsid w:val="00271D66"/>
    <w:rsid w:val="0029730E"/>
    <w:rsid w:val="002B5C6D"/>
    <w:rsid w:val="002E0683"/>
    <w:rsid w:val="002E1C6F"/>
    <w:rsid w:val="002E213E"/>
    <w:rsid w:val="002E21C2"/>
    <w:rsid w:val="002E660F"/>
    <w:rsid w:val="002F0F2F"/>
    <w:rsid w:val="002F6FFA"/>
    <w:rsid w:val="00303CFC"/>
    <w:rsid w:val="00304A3C"/>
    <w:rsid w:val="003145BD"/>
    <w:rsid w:val="003343CE"/>
    <w:rsid w:val="003367A0"/>
    <w:rsid w:val="0034191D"/>
    <w:rsid w:val="00357442"/>
    <w:rsid w:val="00375B2F"/>
    <w:rsid w:val="00377FB8"/>
    <w:rsid w:val="003A29A4"/>
    <w:rsid w:val="003A5188"/>
    <w:rsid w:val="003C0BC4"/>
    <w:rsid w:val="003D2612"/>
    <w:rsid w:val="003E5B87"/>
    <w:rsid w:val="00424965"/>
    <w:rsid w:val="00427D4F"/>
    <w:rsid w:val="00453991"/>
    <w:rsid w:val="0047224A"/>
    <w:rsid w:val="00474675"/>
    <w:rsid w:val="00497451"/>
    <w:rsid w:val="004C1BEF"/>
    <w:rsid w:val="004C2990"/>
    <w:rsid w:val="004C6F2D"/>
    <w:rsid w:val="004D12AB"/>
    <w:rsid w:val="004D1DFC"/>
    <w:rsid w:val="004D4B25"/>
    <w:rsid w:val="00500D39"/>
    <w:rsid w:val="005027B3"/>
    <w:rsid w:val="0053308F"/>
    <w:rsid w:val="0054253E"/>
    <w:rsid w:val="00565767"/>
    <w:rsid w:val="0059148E"/>
    <w:rsid w:val="005C78FE"/>
    <w:rsid w:val="005D4537"/>
    <w:rsid w:val="006003B7"/>
    <w:rsid w:val="006034CD"/>
    <w:rsid w:val="00603741"/>
    <w:rsid w:val="00615344"/>
    <w:rsid w:val="00616F2C"/>
    <w:rsid w:val="00655B02"/>
    <w:rsid w:val="0067661E"/>
    <w:rsid w:val="00696AD6"/>
    <w:rsid w:val="006A2FD9"/>
    <w:rsid w:val="006C0C4F"/>
    <w:rsid w:val="006C3C28"/>
    <w:rsid w:val="006E0CB3"/>
    <w:rsid w:val="006E15F3"/>
    <w:rsid w:val="006F0931"/>
    <w:rsid w:val="006F47E1"/>
    <w:rsid w:val="006F61D0"/>
    <w:rsid w:val="0070063B"/>
    <w:rsid w:val="00714435"/>
    <w:rsid w:val="007242BC"/>
    <w:rsid w:val="007369DF"/>
    <w:rsid w:val="00751291"/>
    <w:rsid w:val="00776695"/>
    <w:rsid w:val="0078701C"/>
    <w:rsid w:val="007A73EB"/>
    <w:rsid w:val="007B4F36"/>
    <w:rsid w:val="00832B98"/>
    <w:rsid w:val="0084595A"/>
    <w:rsid w:val="00867DCA"/>
    <w:rsid w:val="00891610"/>
    <w:rsid w:val="008A33D6"/>
    <w:rsid w:val="008C0CE4"/>
    <w:rsid w:val="008D7DE0"/>
    <w:rsid w:val="00902E4A"/>
    <w:rsid w:val="00932A6A"/>
    <w:rsid w:val="00934607"/>
    <w:rsid w:val="00977BCB"/>
    <w:rsid w:val="009C080E"/>
    <w:rsid w:val="009D17AD"/>
    <w:rsid w:val="009E1D20"/>
    <w:rsid w:val="00A06AD1"/>
    <w:rsid w:val="00A35800"/>
    <w:rsid w:val="00A73E7C"/>
    <w:rsid w:val="00A84570"/>
    <w:rsid w:val="00A901A2"/>
    <w:rsid w:val="00B05BF6"/>
    <w:rsid w:val="00B1248B"/>
    <w:rsid w:val="00B13EFC"/>
    <w:rsid w:val="00B53A62"/>
    <w:rsid w:val="00B92C3C"/>
    <w:rsid w:val="00BA364B"/>
    <w:rsid w:val="00BE6AAB"/>
    <w:rsid w:val="00BF5CCE"/>
    <w:rsid w:val="00C01EB0"/>
    <w:rsid w:val="00C20393"/>
    <w:rsid w:val="00C24D21"/>
    <w:rsid w:val="00C31E10"/>
    <w:rsid w:val="00C456BD"/>
    <w:rsid w:val="00C554DD"/>
    <w:rsid w:val="00C60552"/>
    <w:rsid w:val="00C72E94"/>
    <w:rsid w:val="00C75D89"/>
    <w:rsid w:val="00C84AD7"/>
    <w:rsid w:val="00C9303B"/>
    <w:rsid w:val="00C93A4F"/>
    <w:rsid w:val="00C9616A"/>
    <w:rsid w:val="00C97071"/>
    <w:rsid w:val="00CB0FA3"/>
    <w:rsid w:val="00CD5443"/>
    <w:rsid w:val="00CD6E65"/>
    <w:rsid w:val="00CE5D1B"/>
    <w:rsid w:val="00D06DCB"/>
    <w:rsid w:val="00D146FD"/>
    <w:rsid w:val="00D53093"/>
    <w:rsid w:val="00D67D2B"/>
    <w:rsid w:val="00D9216A"/>
    <w:rsid w:val="00D943C9"/>
    <w:rsid w:val="00DB61E7"/>
    <w:rsid w:val="00DB67AC"/>
    <w:rsid w:val="00DC3439"/>
    <w:rsid w:val="00E055B0"/>
    <w:rsid w:val="00E2300B"/>
    <w:rsid w:val="00E42172"/>
    <w:rsid w:val="00E677B8"/>
    <w:rsid w:val="00EA66FE"/>
    <w:rsid w:val="00EB73A2"/>
    <w:rsid w:val="00ED5C5B"/>
    <w:rsid w:val="00F1282A"/>
    <w:rsid w:val="00F522FA"/>
    <w:rsid w:val="00F7019E"/>
    <w:rsid w:val="00F74106"/>
    <w:rsid w:val="00F8470E"/>
    <w:rsid w:val="00FB6224"/>
    <w:rsid w:val="00FD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25AC"/>
  <w15:chartTrackingRefBased/>
  <w15:docId w15:val="{A20A779E-0C6F-4E34-9C48-B86D1B95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EB"/>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60F"/>
    <w:pPr>
      <w:tabs>
        <w:tab w:val="center" w:pos="4680"/>
        <w:tab w:val="right" w:pos="9360"/>
      </w:tabs>
    </w:pPr>
  </w:style>
  <w:style w:type="character" w:customStyle="1" w:styleId="HeaderChar">
    <w:name w:val="Header Char"/>
    <w:basedOn w:val="DefaultParagraphFont"/>
    <w:link w:val="Header"/>
    <w:uiPriority w:val="99"/>
    <w:rsid w:val="002E660F"/>
  </w:style>
  <w:style w:type="paragraph" w:styleId="Footer">
    <w:name w:val="footer"/>
    <w:basedOn w:val="Normal"/>
    <w:link w:val="FooterChar"/>
    <w:uiPriority w:val="99"/>
    <w:unhideWhenUsed/>
    <w:rsid w:val="002E660F"/>
    <w:pPr>
      <w:tabs>
        <w:tab w:val="center" w:pos="4680"/>
        <w:tab w:val="right" w:pos="9360"/>
      </w:tabs>
    </w:pPr>
  </w:style>
  <w:style w:type="character" w:customStyle="1" w:styleId="FooterChar">
    <w:name w:val="Footer Char"/>
    <w:basedOn w:val="DefaultParagraphFont"/>
    <w:link w:val="Footer"/>
    <w:uiPriority w:val="99"/>
    <w:rsid w:val="002E660F"/>
  </w:style>
  <w:style w:type="character" w:styleId="Hyperlink">
    <w:name w:val="Hyperlink"/>
    <w:basedOn w:val="DefaultParagraphFont"/>
    <w:uiPriority w:val="99"/>
    <w:unhideWhenUsed/>
    <w:rsid w:val="000A7A32"/>
    <w:rPr>
      <w:color w:val="0563C1" w:themeColor="hyperlink"/>
      <w:u w:val="single"/>
    </w:rPr>
  </w:style>
  <w:style w:type="paragraph" w:styleId="NoSpacing">
    <w:name w:val="No Spacing"/>
    <w:uiPriority w:val="1"/>
    <w:qFormat/>
    <w:rsid w:val="000A7A32"/>
    <w:pPr>
      <w:spacing w:after="0" w:line="240" w:lineRule="auto"/>
    </w:pPr>
  </w:style>
  <w:style w:type="paragraph" w:styleId="ListParagraph">
    <w:name w:val="List Paragraph"/>
    <w:aliases w:val="Bulleted List Level 1"/>
    <w:basedOn w:val="Normal"/>
    <w:link w:val="ListParagraphChar"/>
    <w:uiPriority w:val="34"/>
    <w:qFormat/>
    <w:rsid w:val="000A7A32"/>
    <w:pPr>
      <w:ind w:left="720"/>
    </w:pPr>
  </w:style>
  <w:style w:type="character" w:styleId="FollowedHyperlink">
    <w:name w:val="FollowedHyperlink"/>
    <w:basedOn w:val="DefaultParagraphFont"/>
    <w:uiPriority w:val="99"/>
    <w:semiHidden/>
    <w:unhideWhenUsed/>
    <w:rsid w:val="0067661E"/>
    <w:rPr>
      <w:color w:val="954F72" w:themeColor="followedHyperlink"/>
      <w:u w:val="single"/>
    </w:rPr>
  </w:style>
  <w:style w:type="paragraph" w:styleId="BalloonText">
    <w:name w:val="Balloon Text"/>
    <w:basedOn w:val="Normal"/>
    <w:link w:val="BalloonTextChar"/>
    <w:uiPriority w:val="99"/>
    <w:semiHidden/>
    <w:unhideWhenUsed/>
    <w:rsid w:val="00F84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70E"/>
    <w:rPr>
      <w:rFonts w:ascii="Segoe UI" w:hAnsi="Segoe UI" w:cs="Segoe UI"/>
      <w:sz w:val="18"/>
      <w:szCs w:val="18"/>
    </w:rPr>
  </w:style>
  <w:style w:type="paragraph" w:styleId="Revision">
    <w:name w:val="Revision"/>
    <w:hidden/>
    <w:uiPriority w:val="99"/>
    <w:semiHidden/>
    <w:rsid w:val="00D146FD"/>
    <w:pPr>
      <w:spacing w:after="0" w:line="240" w:lineRule="auto"/>
    </w:pPr>
    <w:rPr>
      <w:rFonts w:ascii="Calibri" w:hAnsi="Calibri" w:cs="Calibri"/>
    </w:rPr>
  </w:style>
  <w:style w:type="paragraph" w:customStyle="1" w:styleId="xmsonormal">
    <w:name w:val="x_msonormal"/>
    <w:basedOn w:val="Normal"/>
    <w:rsid w:val="00ED5C5B"/>
    <w:rPr>
      <w:rFonts w:ascii="Times New Roman" w:hAnsi="Times New Roman" w:cs="Times New Roman"/>
      <w:sz w:val="24"/>
      <w:szCs w:val="24"/>
    </w:rPr>
  </w:style>
  <w:style w:type="character" w:customStyle="1" w:styleId="ListParagraphChar">
    <w:name w:val="List Paragraph Char"/>
    <w:aliases w:val="Bulleted List Level 1 Char"/>
    <w:basedOn w:val="DefaultParagraphFont"/>
    <w:link w:val="ListParagraph"/>
    <w:uiPriority w:val="34"/>
    <w:locked/>
    <w:rsid w:val="00696AD6"/>
    <w:rPr>
      <w:rFonts w:ascii="Calibri" w:hAnsi="Calibri" w:cs="Calibri"/>
    </w:rPr>
  </w:style>
  <w:style w:type="character" w:customStyle="1" w:styleId="elementtoproof">
    <w:name w:val="elementtoproof"/>
    <w:basedOn w:val="DefaultParagraphFont"/>
    <w:rsid w:val="00696AD6"/>
  </w:style>
  <w:style w:type="character" w:styleId="UnresolvedMention">
    <w:name w:val="Unresolved Mention"/>
    <w:basedOn w:val="DefaultParagraphFont"/>
    <w:uiPriority w:val="99"/>
    <w:semiHidden/>
    <w:unhideWhenUsed/>
    <w:rsid w:val="009C080E"/>
    <w:rPr>
      <w:color w:val="605E5C"/>
      <w:shd w:val="clear" w:color="auto" w:fill="E1DFDD"/>
    </w:rPr>
  </w:style>
  <w:style w:type="paragraph" w:customStyle="1" w:styleId="xxmsonormal">
    <w:name w:val="x_xmsonormal"/>
    <w:basedOn w:val="Normal"/>
    <w:rsid w:val="00BA364B"/>
    <w:rPr>
      <w:rFonts w:ascii="Times New Roman" w:hAnsi="Times New Roman" w:cs="Times New Roman"/>
      <w:sz w:val="24"/>
      <w:szCs w:val="24"/>
    </w:rPr>
  </w:style>
  <w:style w:type="character" w:customStyle="1" w:styleId="apple-converted-space">
    <w:name w:val="apple-converted-space"/>
    <w:basedOn w:val="DefaultParagraphFont"/>
    <w:rsid w:val="00453991"/>
  </w:style>
  <w:style w:type="paragraph" w:customStyle="1" w:styleId="Default">
    <w:name w:val="Default"/>
    <w:rsid w:val="0045399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03643F"/>
    <w:pPr>
      <w:spacing w:before="100" w:beforeAutospacing="1" w:after="100" w:afterAutospacing="1"/>
    </w:pPr>
    <w:rPr>
      <w:rFonts w:ascii="Times New Roman" w:eastAsia="Times New Roman" w:hAnsi="Times New Roman" w:cs="Times New Roman"/>
      <w:sz w:val="24"/>
      <w:szCs w:val="24"/>
    </w:rPr>
  </w:style>
  <w:style w:type="character" w:customStyle="1" w:styleId="contentpasted0">
    <w:name w:val="contentpasted0"/>
    <w:basedOn w:val="DefaultParagraphFont"/>
    <w:rsid w:val="0003643F"/>
  </w:style>
  <w:style w:type="character" w:customStyle="1" w:styleId="contentpasted2">
    <w:name w:val="contentpasted2"/>
    <w:basedOn w:val="DefaultParagraphFont"/>
    <w:rsid w:val="0003643F"/>
  </w:style>
  <w:style w:type="character" w:customStyle="1" w:styleId="contentpasted1">
    <w:name w:val="contentpasted1"/>
    <w:basedOn w:val="DefaultParagraphFont"/>
    <w:rsid w:val="0003643F"/>
  </w:style>
  <w:style w:type="character" w:customStyle="1" w:styleId="xapple-converted-space">
    <w:name w:val="x_apple-converted-space"/>
    <w:basedOn w:val="DefaultParagraphFont"/>
    <w:rsid w:val="00093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2169">
      <w:bodyDiv w:val="1"/>
      <w:marLeft w:val="0"/>
      <w:marRight w:val="0"/>
      <w:marTop w:val="0"/>
      <w:marBottom w:val="0"/>
      <w:divBdr>
        <w:top w:val="none" w:sz="0" w:space="0" w:color="auto"/>
        <w:left w:val="none" w:sz="0" w:space="0" w:color="auto"/>
        <w:bottom w:val="none" w:sz="0" w:space="0" w:color="auto"/>
        <w:right w:val="none" w:sz="0" w:space="0" w:color="auto"/>
      </w:divBdr>
    </w:div>
    <w:div w:id="238760143">
      <w:bodyDiv w:val="1"/>
      <w:marLeft w:val="0"/>
      <w:marRight w:val="0"/>
      <w:marTop w:val="0"/>
      <w:marBottom w:val="0"/>
      <w:divBdr>
        <w:top w:val="none" w:sz="0" w:space="0" w:color="auto"/>
        <w:left w:val="none" w:sz="0" w:space="0" w:color="auto"/>
        <w:bottom w:val="none" w:sz="0" w:space="0" w:color="auto"/>
        <w:right w:val="none" w:sz="0" w:space="0" w:color="auto"/>
      </w:divBdr>
    </w:div>
    <w:div w:id="382171143">
      <w:bodyDiv w:val="1"/>
      <w:marLeft w:val="0"/>
      <w:marRight w:val="0"/>
      <w:marTop w:val="0"/>
      <w:marBottom w:val="0"/>
      <w:divBdr>
        <w:top w:val="none" w:sz="0" w:space="0" w:color="auto"/>
        <w:left w:val="none" w:sz="0" w:space="0" w:color="auto"/>
        <w:bottom w:val="none" w:sz="0" w:space="0" w:color="auto"/>
        <w:right w:val="none" w:sz="0" w:space="0" w:color="auto"/>
      </w:divBdr>
    </w:div>
    <w:div w:id="496531016">
      <w:bodyDiv w:val="1"/>
      <w:marLeft w:val="0"/>
      <w:marRight w:val="0"/>
      <w:marTop w:val="0"/>
      <w:marBottom w:val="0"/>
      <w:divBdr>
        <w:top w:val="none" w:sz="0" w:space="0" w:color="auto"/>
        <w:left w:val="none" w:sz="0" w:space="0" w:color="auto"/>
        <w:bottom w:val="none" w:sz="0" w:space="0" w:color="auto"/>
        <w:right w:val="none" w:sz="0" w:space="0" w:color="auto"/>
      </w:divBdr>
    </w:div>
    <w:div w:id="575478121">
      <w:bodyDiv w:val="1"/>
      <w:marLeft w:val="0"/>
      <w:marRight w:val="0"/>
      <w:marTop w:val="0"/>
      <w:marBottom w:val="0"/>
      <w:divBdr>
        <w:top w:val="none" w:sz="0" w:space="0" w:color="auto"/>
        <w:left w:val="none" w:sz="0" w:space="0" w:color="auto"/>
        <w:bottom w:val="none" w:sz="0" w:space="0" w:color="auto"/>
        <w:right w:val="none" w:sz="0" w:space="0" w:color="auto"/>
      </w:divBdr>
    </w:div>
    <w:div w:id="1040785732">
      <w:bodyDiv w:val="1"/>
      <w:marLeft w:val="0"/>
      <w:marRight w:val="0"/>
      <w:marTop w:val="0"/>
      <w:marBottom w:val="0"/>
      <w:divBdr>
        <w:top w:val="none" w:sz="0" w:space="0" w:color="auto"/>
        <w:left w:val="none" w:sz="0" w:space="0" w:color="auto"/>
        <w:bottom w:val="none" w:sz="0" w:space="0" w:color="auto"/>
        <w:right w:val="none" w:sz="0" w:space="0" w:color="auto"/>
      </w:divBdr>
    </w:div>
    <w:div w:id="1079863619">
      <w:bodyDiv w:val="1"/>
      <w:marLeft w:val="0"/>
      <w:marRight w:val="0"/>
      <w:marTop w:val="0"/>
      <w:marBottom w:val="0"/>
      <w:divBdr>
        <w:top w:val="none" w:sz="0" w:space="0" w:color="auto"/>
        <w:left w:val="none" w:sz="0" w:space="0" w:color="auto"/>
        <w:bottom w:val="none" w:sz="0" w:space="0" w:color="auto"/>
        <w:right w:val="none" w:sz="0" w:space="0" w:color="auto"/>
      </w:divBdr>
    </w:div>
    <w:div w:id="1225532528">
      <w:bodyDiv w:val="1"/>
      <w:marLeft w:val="0"/>
      <w:marRight w:val="0"/>
      <w:marTop w:val="0"/>
      <w:marBottom w:val="0"/>
      <w:divBdr>
        <w:top w:val="none" w:sz="0" w:space="0" w:color="auto"/>
        <w:left w:val="none" w:sz="0" w:space="0" w:color="auto"/>
        <w:bottom w:val="none" w:sz="0" w:space="0" w:color="auto"/>
        <w:right w:val="none" w:sz="0" w:space="0" w:color="auto"/>
      </w:divBdr>
    </w:div>
    <w:div w:id="1330249950">
      <w:bodyDiv w:val="1"/>
      <w:marLeft w:val="0"/>
      <w:marRight w:val="0"/>
      <w:marTop w:val="0"/>
      <w:marBottom w:val="0"/>
      <w:divBdr>
        <w:top w:val="none" w:sz="0" w:space="0" w:color="auto"/>
        <w:left w:val="none" w:sz="0" w:space="0" w:color="auto"/>
        <w:bottom w:val="none" w:sz="0" w:space="0" w:color="auto"/>
        <w:right w:val="none" w:sz="0" w:space="0" w:color="auto"/>
      </w:divBdr>
    </w:div>
    <w:div w:id="19263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omb/budget/" TargetMode="External"/><Relationship Id="rId13" Type="http://schemas.openxmlformats.org/officeDocument/2006/relationships/hyperlink" Target="https://leadingage.org/wp-content/uploads/2023/03/3.6.23-Final-USCIS-Comment-Letter-PDF.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dingage.org/member-updates-archive" TargetMode="External"/><Relationship Id="rId12" Type="http://schemas.openxmlformats.org/officeDocument/2006/relationships/hyperlink" Target="https://www.federalregister.gov/documents/2023/01/04/2022-27066/us-citizenship-and-immigration-services-fee-schedule-and-changes-to-certain-other-immigr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sha.gov/workplace-violence/sbref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dingage.org/hcbs-access-act-helps-address-direct-care-workforce-crisis-medicaid-hcbs-expansions/" TargetMode="External"/><Relationship Id="rId5" Type="http://schemas.openxmlformats.org/officeDocument/2006/relationships/footnotes" Target="footnotes.xml"/><Relationship Id="rId15" Type="http://schemas.openxmlformats.org/officeDocument/2006/relationships/hyperlink" Target="https://news.bloombergtax.com/tax-insights-and-commentary/checking-employee-retention-credit-claims-before-the-irs-does" TargetMode="External"/><Relationship Id="rId10" Type="http://schemas.openxmlformats.org/officeDocument/2006/relationships/hyperlink" Target="https://leadingage.org/action-alert-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dingage.org/health-care-workforce-supported-in-fy24-budget/" TargetMode="External"/><Relationship Id="rId14" Type="http://schemas.openxmlformats.org/officeDocument/2006/relationships/hyperlink" Target="https://www.forvis.com/webinar/2022/10/rethinking-erc-long-term-care-fac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Couch</dc:creator>
  <cp:keywords/>
  <dc:description/>
  <cp:lastModifiedBy>Andrea Price-Carter</cp:lastModifiedBy>
  <cp:revision>6</cp:revision>
  <cp:lastPrinted>2023-01-13T17:40:00Z</cp:lastPrinted>
  <dcterms:created xsi:type="dcterms:W3CDTF">2023-03-10T21:05:00Z</dcterms:created>
  <dcterms:modified xsi:type="dcterms:W3CDTF">2023-03-10T21:14:00Z</dcterms:modified>
</cp:coreProperties>
</file>