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body>
    <w:p w:rsidR="00DE7AF9" w:rsidP="00BB507F" w:rsidRDefault="00301AA8" w14:paraId="782B4C2A" w14:textId="77777777">
      <w:pPr>
        <w:jc w:val="center"/>
        <w:rPr>
          <w:rFonts w:ascii="Calibri" w:hAnsi="Calibri"/>
          <w:b/>
          <w:sz w:val="32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867EB9" wp14:editId="20B886C2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5943600" cy="26289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2628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6F96" w:rsidRDefault="00945B7E" w14:paraId="46296E76" w14:textId="5C4F2045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COVID-19 Testing</w:t>
                            </w:r>
                          </w:p>
                          <w:p w:rsidR="00945B7E" w:rsidRDefault="00945B7E" w14:paraId="6295E0F0" w14:textId="77777777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</w:p>
                          <w:p w:rsidR="00945B7E" w:rsidRDefault="00945B7E" w14:paraId="49A15722" w14:textId="4B8D5445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72"/>
                              </w:rPr>
                              <w:t>General Information</w:t>
                            </w:r>
                          </w:p>
                          <w:p w:rsidRPr="00301477" w:rsidR="00301477" w:rsidRDefault="00301477" w14:paraId="07E6B5BC" w14:textId="16B42755">
                            <w:pPr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301477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(</w:t>
                            </w:r>
                            <w:r w:rsidR="00FD69F0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1</w:t>
                            </w:r>
                            <w:r w:rsidR="005F5E7B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="0029611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/</w:t>
                            </w:r>
                            <w:r w:rsidR="005F5E7B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0</w:t>
                            </w:r>
                            <w:r w:rsidR="0008383E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r w:rsidR="0029611C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/202</w:t>
                            </w:r>
                            <w:r w:rsidR="005F5E7B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2</w:t>
                            </w:r>
                            <w:r w:rsidRPr="00301477">
                              <w:rPr>
                                <w:rFonts w:ascii="Calibri" w:hAnsi="Calibri"/>
                                <w:b/>
                                <w:color w:val="FFFFFF" w:themeColor="background1"/>
                                <w:sz w:val="36"/>
                                <w:szCs w:val="3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76867EB9">
                <v:stroke joinstyle="miter"/>
                <v:path gradientshapeok="t" o:connecttype="rect"/>
              </v:shapetype>
              <v:shape id="Text Box 3" style="position:absolute;left:0;text-align:left;margin-left:0;margin-top:1in;width:468pt;height:2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snragIAAD4FAAAOAAAAZHJzL2Uyb0RvYy54bWysVE1v2zAMvQ/YfxB0X52kSdYEdYqsRYYB&#10;RVssHXpWZKkxJouaxMTOfn0p2flAtkuHXSRKfKTIR1LXN01l2Fb5UILNef+ix5myEorSvub8x/Pi&#10;0xVnAYUthAGrcr5Tgd/MPn64rt1UDWANplCekRMbprXL+RrRTbMsyLWqRLgApywpNfhKIB39a1Z4&#10;UZP3ymSDXm+c1eAL50GqEOj2rlXyWfKvtZL4qHVQyEzOKTZMq0/rKq7Z7FpMX71w61J2YYh/iKIS&#10;paVHD67uBAq28eUfrqpSegig8UJClYHWpVQpB8qm3zvLZrkWTqVciJzgDjSF/+dWPmyX7skzbL5A&#10;QwWMhNQuTANdxnwa7au4U6SM9ETh7kCbapBJuhxNhpfjHqkk6QbjwdWEDuQnO5o7H/CrgopFIeee&#10;6pLoEtv7gC10D4mvWViUxqTaGMvqnI8vR71kcNCQc2MjVqUqd26OoScJd0ZFjLHflWZlkTKIF6m/&#10;1K3xbCuoM4SUymJKPvkldERpCuI9hh3+GNV7jNs89i+DxYNxVVrwKfuzsIuf+5B1iyfOT/KOIjar&#10;pivpCoodVdpDOwTByUVJ1bgXAZ+Ep66nCtIk4yMt2gCxDp3E2Rr877/dRzw1I2k5q2mKch5+bYRX&#10;nJlvltp00h8O49ilw3D0eUAHf6pZnWrsproFKkef/gwnkxjxaPai9lC90MDP46ukElbS2znHvXiL&#10;7WzThyHVfJ5ANGhO4L1dOhldx+rEXntuXoR3XUMi9fID7OdNTM/6ssVGSwvzDYIuU9NGgltWO+Jp&#10;SFPbdx9K/AVOzwl1/PZmbwAAAP//AwBQSwMEFAAGAAgAAAAhAK36ILLfAAAACAEAAA8AAABkcnMv&#10;ZG93bnJldi54bWxMj0FPwzAMhe9I/IfISNxYylinUppOU6UJCcFhYxdubpO1FYlTmmwr/HrMadye&#10;/azn7xWryVlxMmPoPSm4nyUgDDVe99Qq2L9v7jIQISJptJ6Mgm8TYFVeXxWYa3+mrTntYis4hEKO&#10;CroYh1zK0HTGYZj5wRB7Bz86jDyOrdQjnjncWTlPkqV02BN/6HAwVWeaz93RKXipNm+4recu+7HV&#10;8+thPXztP1Klbm+m9ROIaKZ4OYY/fEaHkplqfyQdhFXARSJvFwsWbD8+LFnUCtI0S0CWhfxfoPwF&#10;AAD//wMAUEsBAi0AFAAGAAgAAAAhALaDOJL+AAAA4QEAABMAAAAAAAAAAAAAAAAAAAAAAFtDb250&#10;ZW50X1R5cGVzXS54bWxQSwECLQAUAAYACAAAACEAOP0h/9YAAACUAQAACwAAAAAAAAAAAAAAAAAv&#10;AQAAX3JlbHMvLnJlbHNQSwECLQAUAAYACAAAACEAiJ7J62oCAAA+BQAADgAAAAAAAAAAAAAAAAAu&#10;AgAAZHJzL2Uyb0RvYy54bWxQSwECLQAUAAYACAAAACEArfogst8AAAAIAQAADwAAAAAAAAAAAAAA&#10;AADEBAAAZHJzL2Rvd25yZXYueG1sUEsFBgAAAAAEAAQA8wAAANAFAAAAAA==&#10;">
                <v:textbox>
                  <w:txbxContent>
                    <w:p w:rsidR="00416F96" w:rsidRDefault="00945B7E" w14:paraId="46296E76" w14:textId="5C4F2045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COVID-19 Testing</w:t>
                      </w:r>
                    </w:p>
                    <w:p w:rsidR="00945B7E" w:rsidRDefault="00945B7E" w14:paraId="6295E0F0" w14:textId="77777777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</w:p>
                    <w:p w:rsidR="00945B7E" w:rsidRDefault="00945B7E" w14:paraId="49A15722" w14:textId="4B8D5445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 w:themeColor="background1"/>
                          <w:sz w:val="72"/>
                        </w:rPr>
                        <w:t>General Information</w:t>
                      </w:r>
                    </w:p>
                    <w:p w:rsidRPr="00301477" w:rsidR="00301477" w:rsidRDefault="00301477" w14:paraId="07E6B5BC" w14:textId="16B42755">
                      <w:pPr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</w:pPr>
                      <w:r w:rsidRPr="00301477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(</w:t>
                      </w:r>
                      <w:r w:rsidR="00FD69F0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1</w:t>
                      </w:r>
                      <w:r w:rsidR="005F5E7B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="0029611C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/</w:t>
                      </w:r>
                      <w:r w:rsidR="005F5E7B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0</w:t>
                      </w:r>
                      <w:r w:rsidR="0008383E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r w:rsidR="0029611C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/202</w:t>
                      </w:r>
                      <w:r w:rsidR="005F5E7B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2</w:t>
                      </w:r>
                      <w:r w:rsidRPr="00301477">
                        <w:rPr>
                          <w:rFonts w:ascii="Calibri" w:hAnsi="Calibri"/>
                          <w:b/>
                          <w:color w:val="FFFFFF" w:themeColor="background1"/>
                          <w:sz w:val="36"/>
                          <w:szCs w:val="36"/>
                        </w:rPr>
                        <w:t>)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Pr="000F1134" w:rsidR="00945B7E" w:rsidP="00945B7E" w:rsidRDefault="00484844" w14:paraId="2AE34A47" w14:textId="77777777">
      <w:pPr>
        <w:spacing w:after="160" w:line="259" w:lineRule="auto"/>
        <w:jc w:val="center"/>
        <w:rPr>
          <w:rFonts w:ascii="Calibri" w:hAnsi="Calibri" w:cs="Calibri"/>
          <w:bCs/>
          <w:sz w:val="36"/>
          <w:szCs w:val="36"/>
        </w:rPr>
      </w:pPr>
      <w:r>
        <w:rPr>
          <w:rFonts w:ascii="Calibri" w:hAnsi="Calibri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8470F5" wp14:editId="0E48FAAF">
                <wp:simplePos x="0" y="0"/>
                <wp:positionH relativeFrom="column">
                  <wp:posOffset>0</wp:posOffset>
                </wp:positionH>
                <wp:positionV relativeFrom="paragraph">
                  <wp:posOffset>2037715</wp:posOffset>
                </wp:positionV>
                <wp:extent cx="5943600" cy="1256888"/>
                <wp:effectExtent l="0" t="0" r="0" b="63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12568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Pr="00484844" w:rsidR="00484844" w:rsidRDefault="00484844" w14:paraId="437D8B91" w14:textId="77777777">
                            <w:pPr>
                              <w:rPr>
                                <w:rFonts w:asciiTheme="minorHAnsi" w:hAnsiTheme="minorHAnsi"/>
                                <w:color w:val="FFFFFF" w:themeColor="background1"/>
                                <w:sz w:val="48"/>
                                <w:szCs w:val="48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style="position:absolute;left:0;text-align:left;margin-left:0;margin-top:160.45pt;width:468pt;height:98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IwlawIAAEUFAAAOAAAAZHJzL2Uyb0RvYy54bWysVEtvGyEQvlfqf0Dcm7Ud23WsrCPXUapK&#10;URLVqXLGLNirsgyFsXfdX5+BXT+U9pKqFxiYbz7myfVNUxm2Uz6UYHPev+hxpqyEorTrnP94vvs0&#10;4SygsIUwYFXO9yrwm9nHD9e1m6oBbMAUyjMisWFau5xvEN00y4LcqEqEC3DKklKDrwTS0a+zwoua&#10;2CuTDXq9cVaDL5wHqUKg29tWyWeJX2sl8VHroJCZnJNvmFaf1lVcs9m1mK69cJtSdm6If/CiEqWl&#10;R49UtwIF2/ryD6qqlB4CaLyQUGWgdSlVioGi6ffeRLPcCKdSLJSc4I5pCv+PVj7slu7JM2y+QEMF&#10;jAmpXZgGuozxNNpXcSdPGekphftj2lSDTNLl6Gp4Oe6RSpKuPxiNJ5NJ5MlO5s4H/KqgYlHIuae6&#10;pHSJ3X3AFnqAxNcs3JXGpNoYy+qcjy9HvWRw1BC5sRGrUpU7mpPrScK9URFj7HelWVmkCOJF6i+1&#10;MJ7tBHWGkFJZTMEnXkJHlCYn3mPY4U9evce4jePwMlg8GlelBZ+if+N28fPgsm7xlPOzuKOIzaqh&#10;wM8qu4JiTwX30M5CcPKupKLci4BPwlPzUyFpoPGRFm2Akg+dxNkG/O+/3Uc89SRpOatpmHIefm2F&#10;V5yZb5a69ao/HMbpS4fh6POADv5cszrX2G21AKpKn74OJ5MY8WgOovZQvdDcz+OrpBJW0ts5x4O4&#10;wHbE6d+Qaj5PIJo3J/DeLp2M1LFIseWemxfhXdeXSC39AIexE9M37dlio6WF+RZBl6l3Y57brHb5&#10;p1lN3d/9K/EzOD8n1On3m70CAAD//wMAUEsDBBQABgAIAAAAIQDBuSFX4AAAAAgBAAAPAAAAZHJz&#10;L2Rvd25yZXYueG1sTI9PS8NAEMXvgt9hGcGb3TSlJY3ZlBIoguihtRdvk+w0Ce6fmN220U/veNLj&#10;mze893vFZrJGXGgMvXcK5rMEBLnG6961Co5vu4cMRIjoNBrvSMEXBdiUtzcF5tpf3Z4uh9gKDnEh&#10;RwVdjEMuZWg6shhmfiDH3smPFiPLsZV6xCuHWyPTJFlJi73jhg4HqjpqPg5nq+C52r3ivk5t9m2q&#10;p5fTdvg8vi+Vur+bto8gIk3x7xl+8RkdSmaq/dnpIIwCHhIVLNJkDYLt9WLFl1rBcp5lIMtC/h9Q&#10;/gAAAP//AwBQSwECLQAUAAYACAAAACEAtoM4kv4AAADhAQAAEwAAAAAAAAAAAAAAAAAAAAAAW0Nv&#10;bnRlbnRfVHlwZXNdLnhtbFBLAQItABQABgAIAAAAIQA4/SH/1gAAAJQBAAALAAAAAAAAAAAAAAAA&#10;AC8BAABfcmVscy8ucmVsc1BLAQItABQABgAIAAAAIQAT2IwlawIAAEUFAAAOAAAAAAAAAAAAAAAA&#10;AC4CAABkcnMvZTJvRG9jLnhtbFBLAQItABQABgAIAAAAIQDBuSFX4AAAAAgBAAAPAAAAAAAAAAAA&#10;AAAAAMUEAABkcnMvZG93bnJldi54bWxQSwUGAAAAAAQABADzAAAA0gUAAAAA&#10;" w14:anchorId="0E8470F5">
                <v:textbox>
                  <w:txbxContent>
                    <w:p w:rsidRPr="00484844" w:rsidR="00484844" w:rsidRDefault="00484844" w14:paraId="437D8B91" w14:textId="77777777">
                      <w:pPr>
                        <w:rPr>
                          <w:rFonts w:asciiTheme="minorHAnsi" w:hAnsiTheme="minorHAnsi"/>
                          <w:color w:val="FFFFFF" w:themeColor="background1"/>
                          <w:sz w:val="48"/>
                          <w:szCs w:val="48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7AF9">
        <w:rPr>
          <w:rFonts w:ascii="Calibri" w:hAnsi="Calibri"/>
          <w:b/>
          <w:sz w:val="32"/>
        </w:rPr>
        <w:br w:type="page"/>
      </w:r>
      <w:r w:rsidRPr="000F1134" w:rsidR="00945B7E">
        <w:rPr>
          <w:rFonts w:ascii="Calibri" w:hAnsi="Calibri" w:cs="Calibri"/>
          <w:b/>
          <w:sz w:val="36"/>
          <w:szCs w:val="36"/>
        </w:rPr>
        <w:lastRenderedPageBreak/>
        <w:t>COVID-19 Testing</w:t>
      </w:r>
    </w:p>
    <w:p w:rsidRPr="000F1134" w:rsidR="00945B7E" w:rsidP="00945B7E" w:rsidRDefault="00945B7E" w14:paraId="1F529B87" w14:textId="77777777">
      <w:pPr>
        <w:spacing w:after="160" w:line="259" w:lineRule="auto"/>
        <w:rPr>
          <w:rFonts w:ascii="Calibri" w:hAnsi="Calibri" w:cs="Calibri"/>
          <w:b/>
          <w:sz w:val="28"/>
          <w:szCs w:val="28"/>
        </w:rPr>
      </w:pPr>
      <w:r w:rsidRPr="000F1134">
        <w:rPr>
          <w:rFonts w:ascii="Calibri" w:hAnsi="Calibri" w:cs="Calibri"/>
          <w:b/>
          <w:sz w:val="28"/>
          <w:szCs w:val="28"/>
        </w:rPr>
        <w:t>Overview and General Information</w:t>
      </w:r>
    </w:p>
    <w:p w:rsidRPr="00FD69F0" w:rsidR="00945B7E" w:rsidP="00945B7E" w:rsidRDefault="00945B7E" w14:paraId="3F253D38" w14:textId="77777777">
      <w:pPr>
        <w:pStyle w:val="NoSpacing"/>
        <w:rPr>
          <w:rFonts w:ascii="Calibri" w:hAnsi="Calibri" w:cs="Calibri"/>
          <w:sz w:val="24"/>
          <w:szCs w:val="24"/>
        </w:rPr>
      </w:pPr>
      <w:r w:rsidRPr="00FD69F0">
        <w:rPr>
          <w:rFonts w:ascii="Calibri" w:hAnsi="Calibri" w:cs="Calibri"/>
          <w:sz w:val="24"/>
          <w:szCs w:val="24"/>
        </w:rPr>
        <w:t xml:space="preserve">The spread of COVID-19 from the community and within the health center is challenging. COVID-19 testing will be an instrumental aspect that will assist facilities in prompt detection of cases </w:t>
      </w:r>
      <w:proofErr w:type="gramStart"/>
      <w:r w:rsidRPr="00FD69F0">
        <w:rPr>
          <w:rFonts w:ascii="Calibri" w:hAnsi="Calibri" w:cs="Calibri"/>
          <w:sz w:val="24"/>
          <w:szCs w:val="24"/>
        </w:rPr>
        <w:t>in order to</w:t>
      </w:r>
      <w:proofErr w:type="gramEnd"/>
      <w:r w:rsidRPr="00FD69F0">
        <w:rPr>
          <w:rFonts w:ascii="Calibri" w:hAnsi="Calibri" w:cs="Calibri"/>
          <w:sz w:val="24"/>
          <w:szCs w:val="24"/>
        </w:rPr>
        <w:t xml:space="preserve"> implement actions to reduce the exposure and to halt transmission within the facility whenever possible.</w:t>
      </w:r>
    </w:p>
    <w:p w:rsidRPr="00FD69F0" w:rsidR="00945B7E" w:rsidP="00945B7E" w:rsidRDefault="00945B7E" w14:paraId="12AA6982" w14:textId="77777777">
      <w:pPr>
        <w:pStyle w:val="NoSpacing"/>
        <w:rPr>
          <w:rFonts w:ascii="Calibri" w:hAnsi="Calibri" w:cs="Calibri"/>
          <w:sz w:val="24"/>
          <w:szCs w:val="24"/>
        </w:rPr>
      </w:pPr>
    </w:p>
    <w:p w:rsidRPr="00FD69F0" w:rsidR="00945B7E" w:rsidP="00945B7E" w:rsidRDefault="00945B7E" w14:paraId="2E9E63BD" w14:textId="1F6CDD7B">
      <w:pPr>
        <w:pStyle w:val="NoSpacing"/>
        <w:rPr>
          <w:rFonts w:ascii="Calibri" w:hAnsi="Calibri" w:cs="Calibri"/>
          <w:sz w:val="24"/>
          <w:szCs w:val="24"/>
        </w:rPr>
      </w:pPr>
      <w:r w:rsidRPr="4E8AA28A" w:rsidR="00945B7E">
        <w:rPr>
          <w:rFonts w:ascii="Calibri" w:hAnsi="Calibri" w:cs="Calibri"/>
          <w:sz w:val="24"/>
          <w:szCs w:val="24"/>
        </w:rPr>
        <w:t>The Centers for Medicare &amp; Medicaid Services (CMS) published a</w:t>
      </w:r>
      <w:r w:rsidRPr="4E8AA28A" w:rsidR="00FD69F0">
        <w:rPr>
          <w:rFonts w:ascii="Calibri" w:hAnsi="Calibri" w:cs="Calibri"/>
          <w:sz w:val="24"/>
          <w:szCs w:val="24"/>
        </w:rPr>
        <w:t xml:space="preserve"> </w:t>
      </w:r>
      <w:r w:rsidRPr="4E8AA28A" w:rsidR="00FD69F0">
        <w:rPr>
          <w:rFonts w:ascii="Calibri" w:hAnsi="Calibri" w:cs="Calibri"/>
          <w:sz w:val="24"/>
          <w:szCs w:val="24"/>
        </w:rPr>
        <w:t>revised</w:t>
      </w:r>
      <w:r w:rsidRPr="4E8AA28A" w:rsidR="00945B7E">
        <w:rPr>
          <w:rFonts w:ascii="Calibri" w:hAnsi="Calibri" w:cs="Calibri"/>
          <w:sz w:val="24"/>
          <w:szCs w:val="24"/>
        </w:rPr>
        <w:t xml:space="preserve"> interim</w:t>
      </w:r>
      <w:r w:rsidRPr="4E8AA28A" w:rsidR="00945B7E">
        <w:rPr>
          <w:rFonts w:ascii="Calibri" w:hAnsi="Calibri" w:cs="Calibri"/>
          <w:sz w:val="24"/>
          <w:szCs w:val="24"/>
        </w:rPr>
        <w:t xml:space="preserve"> final rule (</w:t>
      </w:r>
      <w:hyperlink r:id="R00307d12ecee45fc">
        <w:r w:rsidRPr="4E8AA28A" w:rsidR="005F5E7B">
          <w:rPr>
            <w:rStyle w:val="Hyperlink"/>
          </w:rPr>
          <w:t>https://www.cms.gov/files/document/qso-20-38-nh-revised.pdf</w:t>
        </w:r>
      </w:hyperlink>
      <w:r w:rsidR="005F5E7B">
        <w:rPr/>
        <w:t xml:space="preserve"> </w:t>
      </w:r>
      <w:r w:rsidRPr="4E8AA28A" w:rsidR="00945B7E">
        <w:rPr>
          <w:rFonts w:ascii="Calibri" w:hAnsi="Calibri" w:cs="Calibri"/>
          <w:sz w:val="24"/>
          <w:szCs w:val="24"/>
        </w:rPr>
        <w:t>)</w:t>
      </w:r>
      <w:r w:rsidRPr="4E8AA28A" w:rsidR="00945B7E">
        <w:rPr>
          <w:rFonts w:ascii="Calibri" w:hAnsi="Calibri" w:cs="Calibri"/>
          <w:sz w:val="24"/>
          <w:szCs w:val="24"/>
        </w:rPr>
        <w:t xml:space="preserve"> </w:t>
      </w:r>
      <w:r w:rsidRPr="4E8AA28A" w:rsidR="0029611C">
        <w:rPr>
          <w:rFonts w:ascii="Calibri" w:hAnsi="Calibri" w:cs="Calibri"/>
          <w:sz w:val="24"/>
          <w:szCs w:val="24"/>
        </w:rPr>
        <w:t xml:space="preserve">on </w:t>
      </w:r>
      <w:r w:rsidRPr="4E8AA28A" w:rsidR="00FD69F0">
        <w:rPr>
          <w:rFonts w:ascii="Calibri" w:hAnsi="Calibri" w:cs="Calibri"/>
          <w:sz w:val="24"/>
          <w:szCs w:val="24"/>
        </w:rPr>
        <w:t xml:space="preserve">September </w:t>
      </w:r>
      <w:r w:rsidRPr="4E8AA28A" w:rsidR="005F5E7B">
        <w:rPr>
          <w:rFonts w:ascii="Calibri" w:hAnsi="Calibri" w:cs="Calibri"/>
          <w:sz w:val="24"/>
          <w:szCs w:val="24"/>
        </w:rPr>
        <w:t>23</w:t>
      </w:r>
      <w:r w:rsidRPr="4E8AA28A" w:rsidR="0029611C">
        <w:rPr>
          <w:rFonts w:ascii="Calibri" w:hAnsi="Calibri" w:cs="Calibri"/>
          <w:sz w:val="24"/>
          <w:szCs w:val="24"/>
        </w:rPr>
        <w:t xml:space="preserve">, </w:t>
      </w:r>
      <w:r w:rsidRPr="4E8AA28A" w:rsidR="0029611C">
        <w:rPr>
          <w:rFonts w:ascii="Calibri" w:hAnsi="Calibri" w:cs="Calibri"/>
          <w:sz w:val="24"/>
          <w:szCs w:val="24"/>
        </w:rPr>
        <w:t>202</w:t>
      </w:r>
      <w:r w:rsidRPr="4E8AA28A" w:rsidR="005F5E7B">
        <w:rPr>
          <w:rFonts w:ascii="Calibri" w:hAnsi="Calibri" w:cs="Calibri"/>
          <w:sz w:val="24"/>
          <w:szCs w:val="24"/>
        </w:rPr>
        <w:t>2</w:t>
      </w:r>
      <w:r w:rsidRPr="4E8AA28A" w:rsidR="1A548106">
        <w:rPr>
          <w:rFonts w:ascii="Calibri" w:hAnsi="Calibri" w:cs="Calibri"/>
          <w:sz w:val="24"/>
          <w:szCs w:val="24"/>
        </w:rPr>
        <w:t>,</w:t>
      </w:r>
      <w:r w:rsidRPr="4E8AA28A" w:rsidR="0029611C">
        <w:rPr>
          <w:rFonts w:ascii="Calibri" w:hAnsi="Calibri" w:cs="Calibri"/>
          <w:sz w:val="24"/>
          <w:szCs w:val="24"/>
        </w:rPr>
        <w:t xml:space="preserve"> </w:t>
      </w:r>
      <w:r w:rsidRPr="4E8AA28A" w:rsidR="00945B7E">
        <w:rPr>
          <w:rFonts w:ascii="Calibri" w:hAnsi="Calibri" w:cs="Calibri"/>
          <w:sz w:val="24"/>
          <w:szCs w:val="24"/>
        </w:rPr>
        <w:t>establishing Long-Term Care (LTC) Facility Testing Requirements for Staff and Residents</w:t>
      </w:r>
      <w:r w:rsidRPr="4E8AA28A" w:rsidR="00945B7E">
        <w:rPr>
          <w:rFonts w:ascii="Calibri" w:hAnsi="Calibri" w:cs="Calibri"/>
          <w:sz w:val="24"/>
          <w:szCs w:val="24"/>
        </w:rPr>
        <w:t xml:space="preserve">.  </w:t>
      </w:r>
      <w:r w:rsidRPr="4E8AA28A" w:rsidR="00FD69F0">
        <w:rPr>
          <w:rFonts w:ascii="Calibri" w:hAnsi="Calibri" w:cs="Calibri"/>
          <w:sz w:val="24"/>
          <w:szCs w:val="24"/>
        </w:rPr>
        <w:t>Facilities “are required to test residents and staff, including individuals providing services under arrangement and volunteers, for COVID-19 based on parameters set forth by the HHS Secretary.”</w:t>
      </w:r>
      <w:r w:rsidRPr="4E8AA28A" w:rsidR="005F5E7B">
        <w:rPr>
          <w:rFonts w:ascii="Calibri" w:hAnsi="Calibri" w:cs="Calibri"/>
          <w:sz w:val="24"/>
          <w:szCs w:val="24"/>
          <w:vertAlign w:val="superscript"/>
        </w:rPr>
        <w:t>1</w:t>
      </w:r>
      <w:r w:rsidRPr="4E8AA28A" w:rsidR="005F5E7B">
        <w:rPr>
          <w:rFonts w:ascii="Calibri" w:hAnsi="Calibri" w:cs="Calibri"/>
          <w:sz w:val="24"/>
          <w:szCs w:val="24"/>
        </w:rPr>
        <w:t xml:space="preserve"> Updates</w:t>
      </w:r>
      <w:r w:rsidRPr="4E8AA28A" w:rsidR="00FD69F0">
        <w:rPr>
          <w:rFonts w:ascii="Calibri" w:hAnsi="Calibri" w:cs="Calibri"/>
          <w:sz w:val="24"/>
          <w:szCs w:val="24"/>
        </w:rPr>
        <w:t xml:space="preserve"> to this guidance include:</w:t>
      </w:r>
    </w:p>
    <w:p w:rsidRPr="00757C62" w:rsidR="005F5E7B" w:rsidP="005F5E7B" w:rsidRDefault="00FD69F0" w14:paraId="13DB6386" w14:textId="43D1A75D">
      <w:pPr>
        <w:pStyle w:val="NoSpacing"/>
        <w:numPr>
          <w:ilvl w:val="0"/>
          <w:numId w:val="44"/>
        </w:numPr>
        <w:rPr>
          <w:rFonts w:ascii="Calibri" w:hAnsi="Calibri" w:cs="Calibri"/>
          <w:sz w:val="24"/>
          <w:szCs w:val="24"/>
        </w:rPr>
      </w:pPr>
      <w:r w:rsidRPr="00757C62">
        <w:rPr>
          <w:rFonts w:ascii="Calibri" w:hAnsi="Calibri" w:cs="Calibri"/>
          <w:sz w:val="24"/>
          <w:szCs w:val="24"/>
        </w:rPr>
        <w:t>“</w:t>
      </w:r>
      <w:r w:rsidRPr="00757C62" w:rsidR="005F5E7B">
        <w:rPr>
          <w:rFonts w:ascii="Calibri" w:hAnsi="Calibri" w:cs="Calibri"/>
          <w:sz w:val="24"/>
          <w:szCs w:val="24"/>
        </w:rPr>
        <w:t xml:space="preserve">Routine testing of asymptomatic staff is no longer recommended but may be performed at the discretion of the facility. </w:t>
      </w:r>
    </w:p>
    <w:p w:rsidRPr="00757C62" w:rsidR="00FD69F0" w:rsidP="005F5E7B" w:rsidRDefault="005F5E7B" w14:paraId="1735F19E" w14:textId="5F6BA871">
      <w:pPr>
        <w:pStyle w:val="NoSpacing"/>
        <w:numPr>
          <w:ilvl w:val="0"/>
          <w:numId w:val="44"/>
        </w:numPr>
        <w:rPr>
          <w:rFonts w:ascii="Calibri" w:hAnsi="Calibri" w:cs="Calibri"/>
          <w:sz w:val="24"/>
          <w:szCs w:val="24"/>
        </w:rPr>
      </w:pPr>
      <w:r w:rsidRPr="00757C62">
        <w:rPr>
          <w:rFonts w:ascii="Calibri" w:hAnsi="Calibri" w:cs="Calibri"/>
          <w:sz w:val="24"/>
          <w:szCs w:val="24"/>
        </w:rPr>
        <w:t xml:space="preserve">Updated recommendations for testing individuals who have recovered from COVID-19.” </w:t>
      </w:r>
      <w:r w:rsidRPr="00757C62" w:rsidR="00FD69F0">
        <w:rPr>
          <w:rFonts w:ascii="Calibri" w:hAnsi="Calibri" w:cs="Calibri"/>
          <w:sz w:val="24"/>
          <w:szCs w:val="24"/>
          <w:vertAlign w:val="superscript"/>
        </w:rPr>
        <w:t>1</w:t>
      </w:r>
    </w:p>
    <w:p w:rsidR="00EF059B" w:rsidP="00945B7E" w:rsidRDefault="00BC6169" w14:paraId="08AA56F8" w14:textId="01EA6E35">
      <w:pPr>
        <w:pStyle w:val="NoSpacing"/>
        <w:rPr>
          <w:sz w:val="24"/>
          <w:szCs w:val="24"/>
        </w:rPr>
      </w:pPr>
      <w:r w:rsidRPr="00BC6169">
        <w:rPr>
          <w:rFonts w:ascii="Calibri" w:hAnsi="Calibri" w:cs="Calibri"/>
          <w:sz w:val="24"/>
          <w:szCs w:val="24"/>
        </w:rPr>
        <w:t>Additional guidance includes, “</w:t>
      </w:r>
      <w:r w:rsidRPr="00BC6169">
        <w:rPr>
          <w:sz w:val="24"/>
          <w:szCs w:val="24"/>
        </w:rPr>
        <w:t>Residents who have signs or symptoms of COVID-19, regardless of vaccination status, must be tested as soon as possible. While test results are pending, residents with signs or symptoms should be placed on transmission-based precautions (TBP) in accordance with CDC guidance. Once test results are obtained, the facility must take the appropriate actions based on the results.”</w:t>
      </w:r>
      <w:r w:rsidRPr="00BC6169"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“Staff, regardless of vaccination status, with signs or symptoms must be tested.”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 Outbreak investigation and testing </w:t>
      </w:r>
      <w:proofErr w:type="gramStart"/>
      <w:r>
        <w:rPr>
          <w:sz w:val="24"/>
          <w:szCs w:val="24"/>
        </w:rPr>
        <w:t>is</w:t>
      </w:r>
      <w:proofErr w:type="gramEnd"/>
      <w:r>
        <w:rPr>
          <w:sz w:val="24"/>
          <w:szCs w:val="24"/>
        </w:rPr>
        <w:t xml:space="preserve"> initiated when a single new case of COVID-19 occurs among residents or staff to determine of other have been exposed.”</w:t>
      </w:r>
      <w:r>
        <w:rPr>
          <w:sz w:val="24"/>
          <w:szCs w:val="24"/>
          <w:vertAlign w:val="superscript"/>
        </w:rPr>
        <w:t>1</w:t>
      </w:r>
    </w:p>
    <w:p w:rsidRPr="00BC6169" w:rsidR="00BC6169" w:rsidP="00945B7E" w:rsidRDefault="00BC6169" w14:paraId="26E3F5A7" w14:textId="77777777">
      <w:pPr>
        <w:pStyle w:val="NoSpacing"/>
        <w:rPr>
          <w:rFonts w:ascii="Calibri" w:hAnsi="Calibri" w:cs="Calibri"/>
          <w:sz w:val="24"/>
          <w:szCs w:val="24"/>
          <w:vertAlign w:val="superscript"/>
        </w:rPr>
      </w:pPr>
    </w:p>
    <w:p w:rsidRPr="00891765" w:rsidR="00945B7E" w:rsidP="5162EF34" w:rsidRDefault="00945B7E" w14:paraId="5A7487D6" w14:textId="387A54F8">
      <w:pPr>
        <w:pStyle w:val="NoSpacing"/>
        <w:rPr>
          <w:rFonts w:cs="Calibri" w:cstheme="minorAscii"/>
          <w:sz w:val="24"/>
          <w:szCs w:val="24"/>
          <w:vertAlign w:val="superscript"/>
        </w:rPr>
      </w:pPr>
      <w:r w:rsidRPr="007869C7" w:rsidR="00945B7E">
        <w:rPr>
          <w:rFonts w:ascii="Calibri" w:hAnsi="Calibri" w:cs="Calibri"/>
          <w:sz w:val="24"/>
          <w:szCs w:val="24"/>
        </w:rPr>
        <w:t xml:space="preserve">Facilities will need to have knowledge </w:t>
      </w:r>
      <w:r w:rsidRPr="007869C7" w:rsidR="00945B7E">
        <w:rPr>
          <w:rFonts w:ascii="Calibri" w:hAnsi="Calibri" w:cs="Calibri"/>
          <w:sz w:val="24"/>
          <w:szCs w:val="24"/>
        </w:rPr>
        <w:t>regarding</w:t>
      </w:r>
      <w:r w:rsidRPr="007869C7" w:rsidR="00945B7E">
        <w:rPr>
          <w:rFonts w:ascii="Calibri" w:hAnsi="Calibri" w:cs="Calibri"/>
          <w:sz w:val="24"/>
          <w:szCs w:val="24"/>
        </w:rPr>
        <w:t xml:space="preserve"> the types of testing</w:t>
      </w:r>
      <w:r w:rsidRPr="007869C7" w:rsidR="00945B7E">
        <w:rPr>
          <w:rFonts w:ascii="Calibri" w:hAnsi="Calibri" w:cs="Calibri"/>
          <w:sz w:val="24"/>
          <w:szCs w:val="24"/>
        </w:rPr>
        <w:t xml:space="preserve">.  </w:t>
      </w:r>
      <w:r w:rsidRPr="007869C7" w:rsidR="00945B7E">
        <w:rPr>
          <w:rFonts w:ascii="Calibri" w:hAnsi="Calibri" w:cs="Calibri"/>
          <w:sz w:val="24"/>
          <w:szCs w:val="24"/>
        </w:rPr>
        <w:t xml:space="preserve">The Centers for Disease Control and Prevention </w:t>
      </w:r>
      <w:r w:rsidRPr="007869C7" w:rsidR="00945B7E">
        <w:rPr>
          <w:rFonts w:ascii="Calibri" w:hAnsi="Calibri" w:cs="Calibri"/>
          <w:sz w:val="24"/>
          <w:szCs w:val="24"/>
        </w:rPr>
        <w:t>indicates</w:t>
      </w:r>
      <w:r w:rsidRPr="007869C7" w:rsidR="00945B7E">
        <w:rPr>
          <w:rFonts w:ascii="Calibri" w:hAnsi="Calibri" w:cs="Calibri"/>
          <w:sz w:val="24"/>
          <w:szCs w:val="24"/>
        </w:rPr>
        <w:t>, “</w:t>
      </w:r>
      <w:r w:rsidRPr="002B7CFC" w:rsidR="002B7CFC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</w:rPr>
        <w:t xml:space="preserve">The “gold standard” for clinical diagnostic detection of SARS-CoV-2 </w:t>
      </w:r>
      <w:r w:rsidRPr="002B7CFC" w:rsidR="002B7CFC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</w:rPr>
        <w:t>remains</w:t>
      </w:r>
      <w:r w:rsidRPr="002B7CFC" w:rsidR="002B7CFC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</w:rPr>
        <w:t xml:space="preserve"> laboratory-based (moderate- and high-complexity) </w:t>
      </w:r>
      <w:hyperlink w:history="1" r:id="Rcc8f232829334ef2">
        <w:r w:rsidRPr="002B7CFC" w:rsidR="002B7CFC">
          <w:rPr>
            <w:rFonts w:ascii="Calibri" w:hAnsi="Calibri" w:eastAsia="Times New Roman" w:cs="Calibri"/>
            <w:color w:val="075290"/>
            <w:sz w:val="24"/>
            <w:szCs w:val="24"/>
            <w:u w:val="single"/>
            <w:shd w:val="clear" w:color="auto" w:fill="FFFFFF"/>
          </w:rPr>
          <w:t>NAATs</w:t>
        </w:r>
      </w:hyperlink>
      <w:r w:rsidRPr="002B7CFC" w:rsidR="002B7CFC">
        <w:rPr>
          <w:rFonts w:ascii="Calibri" w:hAnsi="Calibri" w:eastAsia="Times New Roman" w:cs="Calibri"/>
          <w:color w:val="000000"/>
          <w:sz w:val="24"/>
          <w:szCs w:val="24"/>
          <w:shd w:val="clear" w:color="auto" w:fill="FFFFFF"/>
        </w:rPr>
        <w:t xml:space="preserve">. </w:t>
      </w:r>
      <w:r w:rsidRPr="5162EF34" w:rsidR="002B7CFC">
        <w:rPr>
          <w:rFonts w:eastAsia="Times New Roman" w:cs="Calibri" w:cstheme="minorAscii"/>
          <w:color w:val="000000"/>
          <w:sz w:val="24"/>
          <w:szCs w:val="24"/>
          <w:shd w:val="clear" w:color="auto" w:fill="FFFFFF"/>
        </w:rPr>
        <w:t xml:space="preserve">Thus, </w:t>
      </w:r>
      <w:r w:rsidRPr="5162EF34" w:rsidR="00891765">
        <w:rPr>
          <w:rFonts w:cs="Calibri" w:cstheme="minorAscii"/>
          <w:color w:val="000000"/>
          <w:sz w:val="24"/>
          <w:szCs w:val="24"/>
          <w:shd w:val="clear" w:color="auto" w:fill="FFFFFF"/>
        </w:rPr>
        <w:t xml:space="preserve">providers may choose to confirm an antigen test result with a </w:t>
      </w:r>
      <w:r w:rsidRPr="5162EF34" w:rsidR="00891765">
        <w:rPr>
          <w:rFonts w:cs="Calibri" w:cstheme="minorAscii"/>
          <w:color w:val="000000"/>
          <w:sz w:val="24"/>
          <w:szCs w:val="24"/>
          <w:shd w:val="clear" w:color="auto" w:fill="FFFFFF"/>
        </w:rPr>
        <w:t>laboratory-based</w:t>
      </w:r>
      <w:r w:rsidRPr="5162EF34" w:rsidR="00891765">
        <w:rPr>
          <w:rFonts w:cs="Calibri" w:cstheme="minorAscii"/>
          <w:color w:val="000000"/>
          <w:sz w:val="24"/>
          <w:szCs w:val="24"/>
          <w:shd w:val="clear" w:color="auto" w:fill="FFFFFF"/>
        </w:rPr>
        <w:t xml:space="preserve"> NAAT, especially if the result of the antigen test is inconsistent with the clinical contex</w:t>
      </w:r>
      <w:r w:rsidRPr="5162EF34" w:rsidR="00891765">
        <w:rPr>
          <w:rFonts w:cs="Calibri" w:cstheme="minorAscii"/>
          <w:color w:val="000000"/>
          <w:sz w:val="24"/>
          <w:szCs w:val="24"/>
          <w:shd w:val="clear" w:color="auto" w:fill="FFFFFF"/>
        </w:rPr>
        <w:t>t.</w:t>
      </w:r>
      <w:r w:rsidRPr="5162EF34" w:rsidR="00891765">
        <w:rPr>
          <w:rFonts w:cs="Calibri" w:cstheme="minorAscii"/>
          <w:sz w:val="24"/>
          <w:szCs w:val="24"/>
          <w:vertAlign w:val="superscript"/>
        </w:rPr>
        <w:t xml:space="preserve"> </w:t>
      </w:r>
      <w:r w:rsidRPr="5162EF34" w:rsidR="6635C82B">
        <w:rPr>
          <w:rFonts w:cs="Calibri" w:cstheme="minorAscii"/>
          <w:sz w:val="24"/>
          <w:szCs w:val="24"/>
          <w:vertAlign w:val="superscript"/>
        </w:rPr>
        <w:t xml:space="preserve">2</w:t>
      </w:r>
    </w:p>
    <w:p w:rsidRPr="007869C7" w:rsidR="00945B7E" w:rsidP="00945B7E" w:rsidRDefault="00945B7E" w14:paraId="438BF2FC" w14:textId="77777777">
      <w:pPr>
        <w:pStyle w:val="NoSpacing"/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 </w:t>
      </w:r>
    </w:p>
    <w:p w:rsidRPr="00231375" w:rsidR="00C450B5" w:rsidP="5162EF34" w:rsidRDefault="00715D1E" w14:paraId="07809B52" w14:textId="4FC42D7B">
      <w:pPr>
        <w:pStyle w:val="NoSpacing"/>
        <w:rPr>
          <w:rFonts w:cs="Calibri" w:cstheme="minorAscii"/>
          <w:sz w:val="24"/>
          <w:szCs w:val="24"/>
          <w:vertAlign w:val="superscript"/>
        </w:rPr>
      </w:pPr>
      <w:r w:rsidRPr="5162EF34" w:rsidR="00715D1E">
        <w:rPr>
          <w:rFonts w:cs="Calibri" w:cstheme="minorAscii"/>
          <w:sz w:val="24"/>
          <w:szCs w:val="24"/>
        </w:rPr>
        <w:t>“</w:t>
      </w:r>
      <w:r w:rsidRPr="5162EF34" w:rsidR="00231375">
        <w:rPr>
          <w:rFonts w:cs="Calibri" w:cstheme="minorAscii"/>
          <w:color w:val="000000"/>
          <w:sz w:val="24"/>
          <w:szCs w:val="24"/>
          <w:shd w:val="clear" w:color="auto" w:fill="FFFFFF"/>
        </w:rPr>
        <w:t xml:space="preserve">The clinical performance of diagnostic tests </w:t>
      </w:r>
      <w:r w:rsidRPr="5162EF34" w:rsidR="00231375">
        <w:rPr>
          <w:rFonts w:cs="Calibri" w:cstheme="minorAscii"/>
          <w:color w:val="000000"/>
          <w:sz w:val="24"/>
          <w:szCs w:val="24"/>
          <w:shd w:val="clear" w:color="auto" w:fill="FFFFFF"/>
        </w:rPr>
        <w:t>largely depends</w:t>
      </w:r>
      <w:r w:rsidRPr="5162EF34" w:rsidR="00231375">
        <w:rPr>
          <w:rFonts w:cs="Calibri" w:cstheme="minorAscii"/>
          <w:color w:val="000000"/>
          <w:sz w:val="24"/>
          <w:szCs w:val="24"/>
          <w:shd w:val="clear" w:color="auto" w:fill="FFFFFF"/>
        </w:rPr>
        <w:t xml:space="preserve"> on the circumstances in which they are used. Both antigen tests and NAATs perform best if the person is tested when they are symptomatic. Although antigen tests </w:t>
      </w:r>
      <w:r w:rsidRPr="5162EF34" w:rsidR="00231375">
        <w:rPr>
          <w:rFonts w:cs="Calibri" w:cstheme="minorAscii"/>
          <w:color w:val="000000"/>
          <w:sz w:val="24"/>
          <w:szCs w:val="24"/>
          <w:shd w:val="clear" w:color="auto" w:fill="FFFFFF"/>
        </w:rPr>
        <w:t>generally have</w:t>
      </w:r>
      <w:r w:rsidRPr="5162EF34" w:rsidR="00231375">
        <w:rPr>
          <w:rFonts w:cs="Calibri" w:cstheme="minorAscii"/>
          <w:color w:val="000000"/>
          <w:sz w:val="24"/>
          <w:szCs w:val="24"/>
          <w:shd w:val="clear" w:color="auto" w:fill="FFFFFF"/>
        </w:rPr>
        <w:t xml:space="preserve"> lower sensitivity compared to NAATs, they can also be used to test for infection with specific attention to the context in which they are used”</w:t>
      </w:r>
      <w:r w:rsidRPr="5162EF34" w:rsidR="47D6D815">
        <w:rPr>
          <w:rFonts w:cs="Calibri" w:cstheme="minorAscii"/>
          <w:color w:val="000000"/>
          <w:sz w:val="24"/>
          <w:szCs w:val="24"/>
          <w:shd w:val="clear" w:color="auto" w:fill="FFFFFF"/>
          <w:vertAlign w:val="superscript"/>
        </w:rPr>
        <w:t>2</w:t>
      </w:r>
    </w:p>
    <w:p w:rsidRPr="007869C7" w:rsidR="00945B7E" w:rsidP="00945B7E" w:rsidRDefault="00945B7E" w14:paraId="78648753" w14:textId="11006B40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:rsidRPr="007869C7" w:rsidR="00A23AE0" w:rsidP="00945B7E" w:rsidRDefault="00A23AE0" w14:paraId="227CD694" w14:textId="6399EDCA">
      <w:pPr>
        <w:pStyle w:val="NoSpacing"/>
        <w:rPr>
          <w:rFonts w:ascii="Calibri" w:hAnsi="Calibri" w:cs="Calibri"/>
          <w:sz w:val="24"/>
          <w:szCs w:val="24"/>
        </w:rPr>
      </w:pPr>
      <w:r w:rsidRPr="4E8AA28A" w:rsidR="00A23AE0">
        <w:rPr>
          <w:rFonts w:ascii="Calibri" w:hAnsi="Calibri" w:cs="Calibri"/>
          <w:sz w:val="24"/>
          <w:szCs w:val="24"/>
        </w:rPr>
        <w:t>The Centers for Disease Control and Prevention has provided “Guidance for SARS-CoV-</w:t>
      </w:r>
      <w:r w:rsidRPr="4E8AA28A" w:rsidR="00A23AE0">
        <w:rPr>
          <w:rFonts w:ascii="Calibri" w:hAnsi="Calibri" w:cs="Calibri"/>
          <w:sz w:val="24"/>
          <w:szCs w:val="24"/>
        </w:rPr>
        <w:t xml:space="preserve">2 </w:t>
      </w:r>
      <w:r w:rsidRPr="4E8AA28A" w:rsidR="00A60BDA">
        <w:rPr>
          <w:rFonts w:ascii="Calibri" w:hAnsi="Calibri" w:cs="Calibri"/>
          <w:sz w:val="24"/>
          <w:szCs w:val="24"/>
        </w:rPr>
        <w:t>Rapid</w:t>
      </w:r>
      <w:r w:rsidRPr="4E8AA28A" w:rsidR="00A60BDA">
        <w:rPr>
          <w:rFonts w:ascii="Calibri" w:hAnsi="Calibri" w:cs="Calibri"/>
          <w:sz w:val="24"/>
          <w:szCs w:val="24"/>
        </w:rPr>
        <w:t xml:space="preserve"> </w:t>
      </w:r>
      <w:r w:rsidRPr="4E8AA28A" w:rsidR="00A23AE0">
        <w:rPr>
          <w:rFonts w:ascii="Calibri" w:hAnsi="Calibri" w:cs="Calibri"/>
          <w:sz w:val="24"/>
          <w:szCs w:val="24"/>
        </w:rPr>
        <w:t>Testing</w:t>
      </w:r>
      <w:r w:rsidRPr="4E8AA28A" w:rsidR="00231375">
        <w:rPr>
          <w:rFonts w:ascii="Calibri" w:hAnsi="Calibri" w:cs="Calibri"/>
          <w:sz w:val="24"/>
          <w:szCs w:val="24"/>
        </w:rPr>
        <w:t xml:space="preserve"> Performed in Point-of-Care Settings</w:t>
      </w:r>
      <w:r w:rsidRPr="4E8AA28A" w:rsidR="00A23AE0">
        <w:rPr>
          <w:rFonts w:ascii="Calibri" w:hAnsi="Calibri" w:cs="Calibri"/>
          <w:sz w:val="24"/>
          <w:szCs w:val="24"/>
        </w:rPr>
        <w:t xml:space="preserve">, Updated </w:t>
      </w:r>
      <w:r w:rsidRPr="4E8AA28A" w:rsidR="00231375">
        <w:rPr>
          <w:rFonts w:ascii="Calibri" w:hAnsi="Calibri" w:cs="Calibri"/>
          <w:sz w:val="24"/>
          <w:szCs w:val="24"/>
        </w:rPr>
        <w:t>Apr. 4, 2022:</w:t>
      </w:r>
      <w:r w:rsidRPr="4E8AA28A" w:rsidR="00A60BDA">
        <w:rPr>
          <w:rFonts w:ascii="Calibri" w:hAnsi="Calibri" w:cs="Calibri"/>
          <w:sz w:val="24"/>
          <w:szCs w:val="24"/>
        </w:rPr>
        <w:t xml:space="preserve"> </w:t>
      </w:r>
      <w:r w:rsidRPr="4E8AA28A" w:rsidR="00A23AE0">
        <w:rPr>
          <w:rFonts w:ascii="Calibri" w:hAnsi="Calibri" w:cs="Calibri"/>
          <w:sz w:val="24"/>
          <w:szCs w:val="24"/>
        </w:rPr>
        <w:t>(</w:t>
      </w:r>
      <w:hyperlink r:id="Re05b0eae814a49c5">
        <w:r w:rsidRPr="4E8AA28A" w:rsidR="00A23AE0">
          <w:rPr>
            <w:rStyle w:val="Hyperlink"/>
            <w:rFonts w:ascii="Calibri" w:hAnsi="Calibri" w:cs="Calibri"/>
            <w:sz w:val="24"/>
            <w:szCs w:val="24"/>
          </w:rPr>
          <w:t>https://www.cdc.gov/coronavirus/2019-ncov/lab/point-of-care-testing.html</w:t>
        </w:r>
      </w:hyperlink>
      <w:r w:rsidRPr="4E8AA28A" w:rsidR="00A23AE0">
        <w:rPr>
          <w:rFonts w:ascii="Calibri" w:hAnsi="Calibri" w:cs="Calibri"/>
          <w:sz w:val="24"/>
          <w:szCs w:val="24"/>
        </w:rPr>
        <w:t xml:space="preserve"> ) that recommends:</w:t>
      </w:r>
    </w:p>
    <w:p w:rsidR="00A23AE0" w:rsidP="00A23AE0" w:rsidRDefault="00A23AE0" w14:paraId="50652332" w14:textId="5789ABCB">
      <w:pPr>
        <w:pStyle w:val="NoSpacing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Performing a risk assessment prior to testing</w:t>
      </w:r>
    </w:p>
    <w:p w:rsidRPr="007869C7" w:rsidR="00A60BDA" w:rsidP="00A23AE0" w:rsidRDefault="00A60BDA" w14:paraId="579075AB" w14:textId="7B390AF5">
      <w:pPr>
        <w:pStyle w:val="NoSpacing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Use a new pair of gloves every time a specimen is collected</w:t>
      </w:r>
      <w:r w:rsidR="00231375">
        <w:rPr>
          <w:rFonts w:ascii="Calibri" w:hAnsi="Calibri" w:cs="Calibri"/>
          <w:sz w:val="24"/>
          <w:szCs w:val="24"/>
        </w:rPr>
        <w:t xml:space="preserve"> from a different person</w:t>
      </w:r>
    </w:p>
    <w:p w:rsidR="0034795D" w:rsidP="00A23AE0" w:rsidRDefault="00A60BDA" w14:paraId="281E1A45" w14:textId="2CA82F8B">
      <w:pPr>
        <w:pStyle w:val="NoSpacing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 not</w:t>
      </w:r>
      <w:r w:rsidR="0034795D">
        <w:rPr>
          <w:rFonts w:ascii="Calibri" w:hAnsi="Calibri" w:cs="Calibri"/>
          <w:sz w:val="24"/>
          <w:szCs w:val="24"/>
        </w:rPr>
        <w:t xml:space="preserve"> reuse of used test devices, tubes, solutions,</w:t>
      </w:r>
      <w:r>
        <w:rPr>
          <w:rFonts w:ascii="Calibri" w:hAnsi="Calibri" w:cs="Calibri"/>
          <w:sz w:val="24"/>
          <w:szCs w:val="24"/>
        </w:rPr>
        <w:t xml:space="preserve"> </w:t>
      </w:r>
      <w:r w:rsidR="0034795D">
        <w:rPr>
          <w:rFonts w:ascii="Calibri" w:hAnsi="Calibri" w:cs="Calibri"/>
          <w:sz w:val="24"/>
          <w:szCs w:val="24"/>
        </w:rPr>
        <w:t>swabs</w:t>
      </w:r>
      <w:r>
        <w:rPr>
          <w:rFonts w:ascii="Calibri" w:hAnsi="Calibri" w:cs="Calibri"/>
          <w:sz w:val="24"/>
          <w:szCs w:val="24"/>
        </w:rPr>
        <w:t xml:space="preserve">, lancets or fingerstick </w:t>
      </w:r>
      <w:r w:rsidR="00231375">
        <w:rPr>
          <w:rFonts w:ascii="Calibri" w:hAnsi="Calibri" w:cs="Calibri"/>
          <w:sz w:val="24"/>
          <w:szCs w:val="24"/>
        </w:rPr>
        <w:t xml:space="preserve">collection </w:t>
      </w:r>
      <w:r>
        <w:rPr>
          <w:rFonts w:ascii="Calibri" w:hAnsi="Calibri" w:cs="Calibri"/>
          <w:sz w:val="24"/>
          <w:szCs w:val="24"/>
        </w:rPr>
        <w:t>devices</w:t>
      </w:r>
    </w:p>
    <w:p w:rsidR="00231375" w:rsidP="00A23AE0" w:rsidRDefault="00231375" w14:paraId="4B34A503" w14:textId="7E5F1EEA">
      <w:pPr>
        <w:pStyle w:val="NoSpacing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Store all reagents, specimens, contents of the kit and test devices in accordance with the manufacturer’s instructions</w:t>
      </w:r>
    </w:p>
    <w:p w:rsidR="0034795D" w:rsidP="00A23AE0" w:rsidRDefault="0034795D" w14:paraId="1ED68FEE" w14:textId="3EECFF8A">
      <w:pPr>
        <w:pStyle w:val="NoSpacing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test or components are beyond the expiration date or damaged/discolored, they should be discarded</w:t>
      </w:r>
    </w:p>
    <w:p w:rsidR="0034795D" w:rsidP="00A23AE0" w:rsidRDefault="0034795D" w14:paraId="30A175D7" w14:textId="2FE96613">
      <w:pPr>
        <w:pStyle w:val="NoSpacing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Storage and handling of reagents, specimens, kit contents and devices in accordance with manufacturer’s recommendations</w:t>
      </w:r>
    </w:p>
    <w:p w:rsidR="00A60BDA" w:rsidP="00A23AE0" w:rsidRDefault="00A60BDA" w14:paraId="4E82D401" w14:textId="2231ED79">
      <w:pPr>
        <w:pStyle w:val="NoSpacing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Don’t open reagents, test devices and cassettes until ready to test (follow manufacturer’s instructions</w:t>
      </w:r>
      <w:r w:rsidR="00231375">
        <w:rPr>
          <w:rFonts w:ascii="Calibri" w:hAnsi="Calibri" w:cs="Calibri"/>
          <w:sz w:val="24"/>
          <w:szCs w:val="24"/>
        </w:rPr>
        <w:t>)</w:t>
      </w:r>
    </w:p>
    <w:p w:rsidR="00A60BDA" w:rsidP="00A23AE0" w:rsidRDefault="00A60BDA" w14:paraId="76921743" w14:textId="683DDD94">
      <w:pPr>
        <w:pStyle w:val="NoSpacing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Label specimen appropriately to connect specimen with person tested</w:t>
      </w:r>
    </w:p>
    <w:p w:rsidRPr="007869C7" w:rsidR="00A60BDA" w:rsidP="00A23AE0" w:rsidRDefault="00A60BDA" w14:paraId="286A5F24" w14:textId="4F8D8D78">
      <w:pPr>
        <w:pStyle w:val="NoSpacing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When transferring specimens from collection area to testing, follow instructions for the POC test used</w:t>
      </w:r>
    </w:p>
    <w:p w:rsidR="00A23AE0" w:rsidP="00A23AE0" w:rsidRDefault="00A23AE0" w14:paraId="4365C1FC" w14:textId="66FBEFE7">
      <w:pPr>
        <w:pStyle w:val="NoSpacing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 xml:space="preserve">Basic best practice approaches </w:t>
      </w:r>
      <w:r w:rsidR="00A60BDA">
        <w:rPr>
          <w:rFonts w:ascii="Calibri" w:hAnsi="Calibri" w:cs="Calibri"/>
          <w:sz w:val="24"/>
          <w:szCs w:val="24"/>
        </w:rPr>
        <w:t>during</w:t>
      </w:r>
      <w:r w:rsidRPr="007869C7">
        <w:rPr>
          <w:rFonts w:ascii="Calibri" w:hAnsi="Calibri" w:cs="Calibri"/>
          <w:sz w:val="24"/>
          <w:szCs w:val="24"/>
        </w:rPr>
        <w:t xml:space="preserve"> testing</w:t>
      </w:r>
    </w:p>
    <w:p w:rsidR="00DE484B" w:rsidP="00DE484B" w:rsidRDefault="00DE484B" w14:paraId="1DAA9CE4" w14:textId="335EDA83">
      <w:pPr>
        <w:pStyle w:val="NoSpacing"/>
        <w:numPr>
          <w:ilvl w:val="1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Following manufacturer’s recommendation</w:t>
      </w:r>
    </w:p>
    <w:p w:rsidR="00A60BDA" w:rsidP="00DE484B" w:rsidRDefault="00A60BDA" w14:paraId="58F1AC74" w14:textId="48F26865">
      <w:pPr>
        <w:pStyle w:val="NoSpacing"/>
        <w:numPr>
          <w:ilvl w:val="1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Perform quality control and instrument calibration in accordance with the manufacturer’s recommendation</w:t>
      </w:r>
    </w:p>
    <w:p w:rsidR="00A60BDA" w:rsidP="00A60BDA" w:rsidRDefault="00A60BDA" w14:paraId="169BB373" w14:textId="306C5CEF">
      <w:pPr>
        <w:pStyle w:val="NoSpacing"/>
        <w:numPr>
          <w:ilvl w:val="2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quality control or calibration fails, correct issues prior to proceeding with resident testing</w:t>
      </w:r>
    </w:p>
    <w:p w:rsidR="00FA1651" w:rsidP="00A60BDA" w:rsidRDefault="00FA1651" w14:paraId="48360B33" w14:textId="7B0B18CA">
      <w:pPr>
        <w:pStyle w:val="NoSpacing"/>
        <w:numPr>
          <w:ilvl w:val="2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If processing multiple specimens in batches, follow manufacturers recommendation on the testing process and change gloves before putting new specimens in the testing device</w:t>
      </w:r>
    </w:p>
    <w:p w:rsidR="00DE484B" w:rsidP="00DE484B" w:rsidRDefault="00DE484B" w14:paraId="61151015" w14:textId="160EAB85">
      <w:pPr>
        <w:pStyle w:val="NoSpacing"/>
        <w:numPr>
          <w:ilvl w:val="1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Decontamination/disinfection</w:t>
      </w:r>
      <w:r w:rsidR="00FA1651">
        <w:rPr>
          <w:rFonts w:ascii="Calibri" w:hAnsi="Calibri" w:cs="Calibri"/>
          <w:sz w:val="24"/>
          <w:szCs w:val="24"/>
        </w:rPr>
        <w:t xml:space="preserve"> per manufacturer’s recommendations with appropriate EPA disinfection</w:t>
      </w:r>
    </w:p>
    <w:p w:rsidR="00DE484B" w:rsidP="00DE484B" w:rsidRDefault="00231375" w14:paraId="431F2E0E" w14:textId="6CD79DDC">
      <w:pPr>
        <w:pStyle w:val="NoSpacing"/>
        <w:numPr>
          <w:ilvl w:val="1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Always f</w:t>
      </w:r>
      <w:r w:rsidR="00DE484B">
        <w:rPr>
          <w:rFonts w:ascii="Calibri" w:hAnsi="Calibri" w:cs="Calibri"/>
          <w:sz w:val="24"/>
          <w:szCs w:val="24"/>
        </w:rPr>
        <w:t>ollow read and record results times</w:t>
      </w:r>
    </w:p>
    <w:p w:rsidRPr="007869C7" w:rsidR="00DE484B" w:rsidP="00DE484B" w:rsidRDefault="00DE484B" w14:paraId="77BF5540" w14:textId="715AA088">
      <w:pPr>
        <w:pStyle w:val="NoSpacing"/>
        <w:numPr>
          <w:ilvl w:val="1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Waste handling</w:t>
      </w:r>
      <w:r w:rsidR="00FA1651">
        <w:rPr>
          <w:rFonts w:ascii="Calibri" w:hAnsi="Calibri" w:cs="Calibri"/>
          <w:sz w:val="24"/>
          <w:szCs w:val="24"/>
        </w:rPr>
        <w:t xml:space="preserve"> consistent with all other biohazardous waste in the laboratory</w:t>
      </w:r>
    </w:p>
    <w:p w:rsidRPr="007869C7" w:rsidR="00A23AE0" w:rsidP="00A23AE0" w:rsidRDefault="00231375" w14:paraId="2F5C8B09" w14:textId="347C3C5A">
      <w:pPr>
        <w:pStyle w:val="NoSpacing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Only use t</w:t>
      </w:r>
      <w:r w:rsidRPr="007869C7" w:rsidR="00A23AE0">
        <w:rPr>
          <w:rFonts w:ascii="Calibri" w:hAnsi="Calibri" w:cs="Calibri"/>
          <w:sz w:val="24"/>
          <w:szCs w:val="24"/>
        </w:rPr>
        <w:t>ests that can be used for Poin</w:t>
      </w:r>
      <w:r w:rsidR="00667E8B">
        <w:rPr>
          <w:rFonts w:ascii="Calibri" w:hAnsi="Calibri" w:cs="Calibri"/>
          <w:sz w:val="24"/>
          <w:szCs w:val="24"/>
        </w:rPr>
        <w:t>t</w:t>
      </w:r>
      <w:r w:rsidRPr="007869C7" w:rsidR="00A23AE0">
        <w:rPr>
          <w:rFonts w:ascii="Calibri" w:hAnsi="Calibri" w:cs="Calibri"/>
          <w:sz w:val="24"/>
          <w:szCs w:val="24"/>
        </w:rPr>
        <w:t>-of-Care testing</w:t>
      </w:r>
    </w:p>
    <w:p w:rsidRPr="007869C7" w:rsidR="00A23AE0" w:rsidP="00A23AE0" w:rsidRDefault="00231375" w14:paraId="6FE2723C" w14:textId="7738FA6A">
      <w:pPr>
        <w:pStyle w:val="NoSpacing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Follow </w:t>
      </w:r>
      <w:r w:rsidRPr="007869C7" w:rsidR="00A23AE0">
        <w:rPr>
          <w:rFonts w:ascii="Calibri" w:hAnsi="Calibri" w:cs="Calibri"/>
          <w:sz w:val="24"/>
          <w:szCs w:val="24"/>
        </w:rPr>
        <w:t>CLIA Certificate of Waiver requirements</w:t>
      </w:r>
    </w:p>
    <w:p w:rsidR="00A23AE0" w:rsidP="00945B7E" w:rsidRDefault="00231375" w14:paraId="3889D4A4" w14:textId="32A3BC89">
      <w:pPr>
        <w:pStyle w:val="NoSpacing"/>
        <w:numPr>
          <w:ilvl w:val="0"/>
          <w:numId w:val="43"/>
        </w:numPr>
        <w:rPr>
          <w:rFonts w:ascii="Calibri" w:hAnsi="Calibri" w:cs="Calibri"/>
          <w:sz w:val="24"/>
          <w:szCs w:val="24"/>
        </w:rPr>
      </w:pPr>
      <w:r w:rsidRPr="7F754750" w:rsidR="00231375">
        <w:rPr>
          <w:rFonts w:ascii="Calibri" w:hAnsi="Calibri" w:cs="Calibri"/>
          <w:sz w:val="24"/>
          <w:szCs w:val="24"/>
        </w:rPr>
        <w:t xml:space="preserve">Follow </w:t>
      </w:r>
      <w:r w:rsidRPr="7F754750" w:rsidR="00A23AE0">
        <w:rPr>
          <w:rFonts w:ascii="Calibri" w:hAnsi="Calibri" w:cs="Calibri"/>
          <w:sz w:val="24"/>
          <w:szCs w:val="24"/>
        </w:rPr>
        <w:t>Reporting Requirements for Point-of Care Testing</w:t>
      </w:r>
    </w:p>
    <w:p w:rsidR="0C1B206E" w:rsidP="48E4ADD7" w:rsidRDefault="0C1B206E" w14:paraId="18066A4C" w14:textId="377DAFD5">
      <w:pPr>
        <w:pStyle w:val="NoSpacing"/>
        <w:ind w:left="0"/>
        <w:rPr>
          <w:rFonts w:ascii="Calibri" w:hAnsi="Calibri" w:cs="Calibri"/>
          <w:sz w:val="24"/>
          <w:szCs w:val="24"/>
        </w:rPr>
      </w:pPr>
      <w:r w:rsidRPr="48E4ADD7" w:rsidR="0C1B206E">
        <w:rPr>
          <w:rFonts w:ascii="Calibri" w:hAnsi="Calibri" w:cs="Calibri"/>
          <w:b w:val="1"/>
          <w:bCs w:val="1"/>
          <w:sz w:val="24"/>
          <w:szCs w:val="24"/>
        </w:rPr>
        <w:t>NOTE:</w:t>
      </w:r>
      <w:r w:rsidRPr="48E4ADD7" w:rsidR="0C1B206E">
        <w:rPr>
          <w:rFonts w:ascii="Calibri" w:hAnsi="Calibri" w:cs="Calibri"/>
          <w:sz w:val="24"/>
          <w:szCs w:val="24"/>
        </w:rPr>
        <w:t xml:space="preserve">  Monitor for ALL updates and requirements related to the end of the Public Health Emergency in relation to reporting of COVID-19 testing</w:t>
      </w:r>
    </w:p>
    <w:p w:rsidRPr="007869C7" w:rsidR="00A23AE0" w:rsidP="00945B7E" w:rsidRDefault="00A23AE0" w14:paraId="5654566A" w14:textId="77777777">
      <w:pPr>
        <w:pStyle w:val="NoSpacing"/>
        <w:rPr>
          <w:rFonts w:ascii="Calibri" w:hAnsi="Calibri" w:cs="Calibri"/>
          <w:b w:val="1"/>
          <w:bCs w:val="1"/>
          <w:sz w:val="24"/>
          <w:szCs w:val="24"/>
        </w:rPr>
      </w:pPr>
    </w:p>
    <w:p w:rsidR="539B2273" w:rsidP="12D3B19A" w:rsidRDefault="539B2273" w14:paraId="46F7B608" w14:textId="5A549074">
      <w:pPr>
        <w:pStyle w:val="NoSpacing"/>
        <w:rPr>
          <w:rFonts w:ascii="Calibri" w:hAnsi="Calibri" w:cs="Calibri"/>
          <w:b w:val="0"/>
          <w:bCs w:val="0"/>
          <w:sz w:val="24"/>
          <w:szCs w:val="24"/>
        </w:rPr>
      </w:pPr>
      <w:r w:rsidRPr="12D3B19A" w:rsidR="539B2273">
        <w:rPr>
          <w:rFonts w:ascii="Calibri" w:hAnsi="Calibri" w:cs="Calibri"/>
          <w:b w:val="0"/>
          <w:bCs w:val="0"/>
          <w:sz w:val="24"/>
          <w:szCs w:val="24"/>
        </w:rPr>
        <w:t>The Centers for Disease Control and Prevention</w:t>
      </w:r>
      <w:r w:rsidRPr="12D3B19A" w:rsidR="294FC997">
        <w:rPr>
          <w:rFonts w:ascii="Calibri" w:hAnsi="Calibri" w:cs="Calibri"/>
          <w:b w:val="0"/>
          <w:bCs w:val="0"/>
          <w:sz w:val="24"/>
          <w:szCs w:val="24"/>
        </w:rPr>
        <w:t xml:space="preserve">, in “How to Report COVID-19 Laboratory Data, announces HHS and CDC revisions that took place effective April 4, 2022, that </w:t>
      </w:r>
      <w:r w:rsidRPr="12D3B19A" w:rsidR="294FC997">
        <w:rPr>
          <w:rFonts w:ascii="Calibri" w:hAnsi="Calibri" w:cs="Calibri"/>
          <w:b w:val="0"/>
          <w:bCs w:val="0"/>
          <w:sz w:val="24"/>
          <w:szCs w:val="24"/>
        </w:rPr>
        <w:t>indicates</w:t>
      </w:r>
      <w:r w:rsidRPr="12D3B19A" w:rsidR="294FC997">
        <w:rPr>
          <w:rFonts w:ascii="Calibri" w:hAnsi="Calibri" w:cs="Calibri"/>
          <w:b w:val="0"/>
          <w:bCs w:val="0"/>
          <w:sz w:val="24"/>
          <w:szCs w:val="24"/>
        </w:rPr>
        <w:t xml:space="preserve"> that “Reporting of negative results for non</w:t>
      </w:r>
      <w:r w:rsidRPr="12D3B19A" w:rsidR="43E76A3D">
        <w:rPr>
          <w:rFonts w:ascii="Calibri" w:hAnsi="Calibri" w:cs="Calibri"/>
          <w:b w:val="0"/>
          <w:bCs w:val="0"/>
          <w:sz w:val="24"/>
          <w:szCs w:val="24"/>
        </w:rPr>
        <w:t>-NAAT tests (rapid or antigen test results) is no longer required</w:t>
      </w:r>
      <w:r w:rsidRPr="12D3B19A" w:rsidR="43E76A3D">
        <w:rPr>
          <w:rFonts w:ascii="Calibri" w:hAnsi="Calibri" w:cs="Calibri"/>
          <w:b w:val="0"/>
          <w:bCs w:val="0"/>
          <w:sz w:val="24"/>
          <w:szCs w:val="24"/>
        </w:rPr>
        <w:t xml:space="preserve">.  </w:t>
      </w:r>
      <w:r w:rsidRPr="12D3B19A" w:rsidR="43E76A3D">
        <w:rPr>
          <w:rFonts w:ascii="Calibri" w:hAnsi="Calibri" w:cs="Calibri"/>
          <w:b w:val="0"/>
          <w:bCs w:val="0"/>
          <w:sz w:val="24"/>
          <w:szCs w:val="24"/>
        </w:rPr>
        <w:t>However, testing sites must still report data for all positive diagnostic and screening testing completed for each individual test.”</w:t>
      </w:r>
      <w:r w:rsidRPr="12D3B19A" w:rsidR="7916AB89">
        <w:rPr>
          <w:rFonts w:ascii="Calibri" w:hAnsi="Calibri" w:cs="Calibri"/>
          <w:b w:val="0"/>
          <w:bCs w:val="0"/>
          <w:sz w:val="24"/>
          <w:szCs w:val="24"/>
          <w:vertAlign w:val="superscript"/>
        </w:rPr>
        <w:t>3</w:t>
      </w:r>
      <w:r w:rsidRPr="12D3B19A" w:rsidR="3CE15622">
        <w:rPr>
          <w:rFonts w:ascii="Calibri" w:hAnsi="Calibri" w:cs="Calibri"/>
          <w:b w:val="0"/>
          <w:bCs w:val="0"/>
          <w:sz w:val="24"/>
          <w:szCs w:val="24"/>
          <w:vertAlign w:val="baseline"/>
        </w:rPr>
        <w:t xml:space="preserve">  </w:t>
      </w:r>
      <w:r w:rsidRPr="12D3B19A" w:rsidR="603403A1">
        <w:rPr>
          <w:rFonts w:ascii="Calibri" w:hAnsi="Calibri" w:cs="Calibri"/>
          <w:b w:val="0"/>
          <w:bCs w:val="0"/>
          <w:sz w:val="24"/>
          <w:szCs w:val="24"/>
          <w:vertAlign w:val="baseline"/>
        </w:rPr>
        <w:t xml:space="preserve"> </w:t>
      </w:r>
      <w:r w:rsidRPr="12D3B19A" w:rsidR="3CE15622">
        <w:rPr>
          <w:rFonts w:ascii="Calibri" w:hAnsi="Calibri" w:cs="Calibri"/>
          <w:b w:val="0"/>
          <w:bCs w:val="0"/>
          <w:sz w:val="24"/>
          <w:szCs w:val="24"/>
          <w:vertAlign w:val="baseline"/>
        </w:rPr>
        <w:t>In</w:t>
      </w:r>
      <w:r w:rsidRPr="12D3B19A" w:rsidR="3CE15622">
        <w:rPr>
          <w:rFonts w:ascii="Calibri" w:hAnsi="Calibri" w:cs="Calibri"/>
          <w:b w:val="0"/>
          <w:bCs w:val="0"/>
          <w:sz w:val="24"/>
          <w:szCs w:val="24"/>
          <w:vertAlign w:val="baseline"/>
        </w:rPr>
        <w:t xml:space="preserve"> the event that the resident has a positive antigen test, and then has a negative PCR test that is performed within 2 calendar days of each other, this will be excluded</w:t>
      </w:r>
      <w:r w:rsidRPr="12D3B19A" w:rsidR="05664981">
        <w:rPr>
          <w:rFonts w:ascii="Calibri" w:hAnsi="Calibri" w:cs="Calibri"/>
          <w:b w:val="0"/>
          <w:bCs w:val="0"/>
          <w:sz w:val="24"/>
          <w:szCs w:val="24"/>
          <w:vertAlign w:val="baseline"/>
        </w:rPr>
        <w:t xml:space="preserve"> from the positive test count.</w:t>
      </w:r>
    </w:p>
    <w:p w:rsidR="12D3B19A" w:rsidP="12D3B19A" w:rsidRDefault="12D3B19A" w14:paraId="008ECB00" w14:textId="69A05013">
      <w:pPr>
        <w:pStyle w:val="NoSpacing"/>
        <w:rPr>
          <w:rFonts w:ascii="Calibri" w:hAnsi="Calibri" w:cs="Calibri"/>
          <w:b w:val="0"/>
          <w:bCs w:val="0"/>
          <w:sz w:val="24"/>
          <w:szCs w:val="24"/>
          <w:vertAlign w:val="baseline"/>
        </w:rPr>
      </w:pPr>
    </w:p>
    <w:p w:rsidR="5DCD15F7" w:rsidP="12D3B19A" w:rsidRDefault="5DCD15F7" w14:paraId="4620B11A" w14:textId="471E4C0C">
      <w:pPr>
        <w:pStyle w:val="NoSpacing"/>
        <w:rPr>
          <w:rFonts w:ascii="Calibri" w:hAnsi="Calibri" w:cs="Calibri"/>
          <w:b w:val="0"/>
          <w:bCs w:val="0"/>
          <w:sz w:val="24"/>
          <w:szCs w:val="24"/>
          <w:vertAlign w:val="baseline"/>
        </w:rPr>
      </w:pPr>
      <w:r w:rsidRPr="12D3B19A" w:rsidR="5DCD15F7">
        <w:rPr>
          <w:rFonts w:ascii="Calibri" w:hAnsi="Calibri" w:cs="Calibri"/>
          <w:b w:val="0"/>
          <w:bCs w:val="0"/>
          <w:sz w:val="24"/>
          <w:szCs w:val="24"/>
          <w:vertAlign w:val="baseline"/>
        </w:rPr>
        <w:t xml:space="preserve">“CMS-certified long-term care (LTC) facilities can </w:t>
      </w:r>
      <w:r w:rsidRPr="12D3B19A" w:rsidR="5DCD15F7">
        <w:rPr>
          <w:rFonts w:ascii="Calibri" w:hAnsi="Calibri" w:cs="Calibri"/>
          <w:b w:val="0"/>
          <w:bCs w:val="0"/>
          <w:sz w:val="24"/>
          <w:szCs w:val="24"/>
          <w:vertAlign w:val="baseline"/>
        </w:rPr>
        <w:t>submit</w:t>
      </w:r>
      <w:r w:rsidRPr="12D3B19A" w:rsidR="5DCD15F7">
        <w:rPr>
          <w:rFonts w:ascii="Calibri" w:hAnsi="Calibri" w:cs="Calibri"/>
          <w:b w:val="0"/>
          <w:bCs w:val="0"/>
          <w:sz w:val="24"/>
          <w:szCs w:val="24"/>
          <w:vertAlign w:val="baseline"/>
        </w:rPr>
        <w:t xml:space="preserve"> point-of-care SARS-CoV-2 testing data, including antigen, antibody, and nucleic acid amplification test (NAAT) testing data, to CDC’s National</w:t>
      </w:r>
      <w:r w:rsidRPr="12D3B19A" w:rsidR="57EAB1B5">
        <w:rPr>
          <w:rFonts w:ascii="Calibri" w:hAnsi="Calibri" w:cs="Calibri"/>
          <w:b w:val="0"/>
          <w:bCs w:val="0"/>
          <w:sz w:val="24"/>
          <w:szCs w:val="24"/>
          <w:vertAlign w:val="baseline"/>
        </w:rPr>
        <w:t xml:space="preserve"> Healthcare Safety Network (NHSN)</w:t>
      </w:r>
      <w:r w:rsidRPr="12D3B19A" w:rsidR="57EAB1B5">
        <w:rPr>
          <w:rFonts w:ascii="Calibri" w:hAnsi="Calibri" w:cs="Calibri"/>
          <w:b w:val="0"/>
          <w:bCs w:val="0"/>
          <w:sz w:val="24"/>
          <w:szCs w:val="24"/>
          <w:vertAlign w:val="baseline"/>
        </w:rPr>
        <w:t xml:space="preserve">.  </w:t>
      </w:r>
      <w:r w:rsidRPr="12D3B19A" w:rsidR="57EAB1B5">
        <w:rPr>
          <w:rFonts w:ascii="Calibri" w:hAnsi="Calibri" w:cs="Calibri"/>
          <w:b w:val="0"/>
          <w:bCs w:val="0"/>
          <w:sz w:val="24"/>
          <w:szCs w:val="24"/>
          <w:vertAlign w:val="baseline"/>
        </w:rPr>
        <w:t xml:space="preserve">This CDC-and CMS-preferred pathway to </w:t>
      </w:r>
      <w:r w:rsidRPr="12D3B19A" w:rsidR="57EAB1B5">
        <w:rPr>
          <w:rFonts w:ascii="Calibri" w:hAnsi="Calibri" w:cs="Calibri"/>
          <w:b w:val="0"/>
          <w:bCs w:val="0"/>
          <w:sz w:val="24"/>
          <w:szCs w:val="24"/>
          <w:vertAlign w:val="baseline"/>
        </w:rPr>
        <w:t>submit</w:t>
      </w:r>
      <w:r w:rsidRPr="12D3B19A" w:rsidR="57EAB1B5">
        <w:rPr>
          <w:rFonts w:ascii="Calibri" w:hAnsi="Calibri" w:cs="Calibri"/>
          <w:b w:val="0"/>
          <w:bCs w:val="0"/>
          <w:sz w:val="24"/>
          <w:szCs w:val="24"/>
          <w:vertAlign w:val="baseline"/>
        </w:rPr>
        <w:t xml:space="preserve"> data to CDC’s NHSN applies only to CMS-certified LTC facilities</w:t>
      </w:r>
      <w:r w:rsidRPr="12D3B19A" w:rsidR="57EAB1B5">
        <w:rPr>
          <w:rFonts w:ascii="Calibri" w:hAnsi="Calibri" w:cs="Calibri"/>
          <w:b w:val="0"/>
          <w:bCs w:val="0"/>
          <w:sz w:val="24"/>
          <w:szCs w:val="24"/>
          <w:vertAlign w:val="baseline"/>
        </w:rPr>
        <w:t xml:space="preserve">.  </w:t>
      </w:r>
      <w:r w:rsidRPr="12D3B19A" w:rsidR="57EAB1B5">
        <w:rPr>
          <w:rFonts w:ascii="Calibri" w:hAnsi="Calibri" w:cs="Calibri"/>
          <w:b w:val="0"/>
          <w:bCs w:val="0"/>
          <w:sz w:val="24"/>
          <w:szCs w:val="24"/>
          <w:vertAlign w:val="baseline"/>
        </w:rPr>
        <w:t xml:space="preserve">Test data </w:t>
      </w:r>
      <w:r w:rsidRPr="12D3B19A" w:rsidR="57EAB1B5">
        <w:rPr>
          <w:rFonts w:ascii="Calibri" w:hAnsi="Calibri" w:cs="Calibri"/>
          <w:b w:val="0"/>
          <w:bCs w:val="0"/>
          <w:sz w:val="24"/>
          <w:szCs w:val="24"/>
          <w:vertAlign w:val="baseline"/>
        </w:rPr>
        <w:t>submitted</w:t>
      </w:r>
      <w:r w:rsidRPr="12D3B19A" w:rsidR="57EAB1B5">
        <w:rPr>
          <w:rFonts w:ascii="Calibri" w:hAnsi="Calibri" w:cs="Calibri"/>
          <w:b w:val="0"/>
          <w:bCs w:val="0"/>
          <w:sz w:val="24"/>
          <w:szCs w:val="24"/>
          <w:vertAlign w:val="baseline"/>
        </w:rPr>
        <w:t xml:space="preserve"> to NHSN will be reported to </w:t>
      </w:r>
      <w:r w:rsidRPr="12D3B19A" w:rsidR="57EAB1B5">
        <w:rPr>
          <w:rFonts w:ascii="Calibri" w:hAnsi="Calibri" w:cs="Calibri"/>
          <w:b w:val="0"/>
          <w:bCs w:val="0"/>
          <w:sz w:val="24"/>
          <w:szCs w:val="24"/>
          <w:vertAlign w:val="baseline"/>
        </w:rPr>
        <w:t>appropriate state</w:t>
      </w:r>
      <w:r w:rsidRPr="12D3B19A" w:rsidR="57EAB1B5">
        <w:rPr>
          <w:rFonts w:ascii="Calibri" w:hAnsi="Calibri" w:cs="Calibri"/>
          <w:b w:val="0"/>
          <w:bCs w:val="0"/>
          <w:sz w:val="24"/>
          <w:szCs w:val="24"/>
          <w:vertAlign w:val="baseline"/>
        </w:rPr>
        <w:t>, tribal</w:t>
      </w:r>
      <w:r w:rsidRPr="12D3B19A" w:rsidR="2511C566">
        <w:rPr>
          <w:rFonts w:ascii="Calibri" w:hAnsi="Calibri" w:cs="Calibri"/>
          <w:b w:val="0"/>
          <w:bCs w:val="0"/>
          <w:sz w:val="24"/>
          <w:szCs w:val="24"/>
          <w:vertAlign w:val="baseline"/>
        </w:rPr>
        <w:t>, local, and territorial health departments using standard electronic laboratory messages</w:t>
      </w:r>
      <w:r w:rsidRPr="12D3B19A" w:rsidR="2511C566">
        <w:rPr>
          <w:rFonts w:ascii="Calibri" w:hAnsi="Calibri" w:cs="Calibri"/>
          <w:b w:val="0"/>
          <w:bCs w:val="0"/>
          <w:sz w:val="24"/>
          <w:szCs w:val="24"/>
          <w:vertAlign w:val="baseline"/>
        </w:rPr>
        <w:t xml:space="preserve">.  </w:t>
      </w:r>
      <w:r w:rsidRPr="12D3B19A" w:rsidR="2511C566">
        <w:rPr>
          <w:rFonts w:ascii="Calibri" w:hAnsi="Calibri" w:cs="Calibri"/>
          <w:b w:val="0"/>
          <w:bCs w:val="0"/>
          <w:sz w:val="24"/>
          <w:szCs w:val="24"/>
          <w:vertAlign w:val="baseline"/>
        </w:rPr>
        <w:t>Other types of LTC facilities can also report testing data in NHSN for self-tracking or to fulfill state or local reporting requirements, if any.</w:t>
      </w:r>
      <w:r w:rsidRPr="12D3B19A" w:rsidR="070C3482">
        <w:rPr>
          <w:rFonts w:ascii="Calibri" w:hAnsi="Calibri" w:cs="Calibri"/>
          <w:b w:val="0"/>
          <w:bCs w:val="0"/>
          <w:sz w:val="24"/>
          <w:szCs w:val="24"/>
          <w:vertAlign w:val="baseline"/>
        </w:rPr>
        <w:t>”</w:t>
      </w:r>
      <w:r w:rsidRPr="12D3B19A" w:rsidR="0DF6FD08">
        <w:rPr>
          <w:rFonts w:ascii="Calibri" w:hAnsi="Calibri" w:cs="Calibri"/>
          <w:b w:val="0"/>
          <w:bCs w:val="0"/>
          <w:sz w:val="24"/>
          <w:szCs w:val="24"/>
          <w:vertAlign w:val="superscript"/>
        </w:rPr>
        <w:t>4</w:t>
      </w:r>
    </w:p>
    <w:p w:rsidR="12D3B19A" w:rsidP="12D3B19A" w:rsidRDefault="12D3B19A" w14:paraId="73929DAD" w14:textId="43B087E1">
      <w:pPr>
        <w:pStyle w:val="NoSpacing"/>
        <w:rPr>
          <w:rFonts w:ascii="Calibri" w:hAnsi="Calibri" w:cs="Calibri"/>
          <w:b w:val="1"/>
          <w:bCs w:val="1"/>
          <w:sz w:val="24"/>
          <w:szCs w:val="24"/>
        </w:rPr>
      </w:pPr>
    </w:p>
    <w:p w:rsidRPr="007869C7" w:rsidR="00945B7E" w:rsidP="00945B7E" w:rsidRDefault="00945B7E" w14:paraId="43A875A9" w14:textId="1AAF68CE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7869C7">
        <w:rPr>
          <w:rFonts w:ascii="Calibri" w:hAnsi="Calibri" w:cs="Calibri"/>
          <w:b/>
          <w:bCs/>
          <w:sz w:val="24"/>
          <w:szCs w:val="24"/>
        </w:rPr>
        <w:t>Competencies which may be associated with COVID-19 Testing include but are not limited to:</w:t>
      </w:r>
    </w:p>
    <w:p w:rsidRPr="007869C7" w:rsidR="00945B7E" w:rsidP="00945B7E" w:rsidRDefault="00945B7E" w14:paraId="30B6ADA3" w14:textId="77777777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:rsidRPr="007869C7" w:rsidR="00945B7E" w:rsidP="00945B7E" w:rsidRDefault="00945B7E" w14:paraId="6B300680" w14:textId="77777777">
      <w:pPr>
        <w:pStyle w:val="NoSpacing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 xml:space="preserve">Understanding of COVID-19 Types of Testing </w:t>
      </w:r>
    </w:p>
    <w:p w:rsidRPr="007869C7" w:rsidR="00945B7E" w:rsidP="00945B7E" w:rsidRDefault="00945B7E" w14:paraId="2C7656DC" w14:textId="77777777">
      <w:pPr>
        <w:pStyle w:val="NoSpacing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Proper use of Personal Protective Equipment</w:t>
      </w:r>
    </w:p>
    <w:p w:rsidRPr="007869C7" w:rsidR="00945B7E" w:rsidP="00945B7E" w:rsidRDefault="00945B7E" w14:paraId="52EF0139" w14:textId="77777777">
      <w:pPr>
        <w:pStyle w:val="NoSpacing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Knowledge of proper hand hygiene practices</w:t>
      </w:r>
    </w:p>
    <w:p w:rsidRPr="007869C7" w:rsidR="00945B7E" w:rsidP="00945B7E" w:rsidRDefault="00945B7E" w14:paraId="360ED69A" w14:textId="77777777">
      <w:pPr>
        <w:pStyle w:val="NoSpacing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Specimen Collection</w:t>
      </w:r>
    </w:p>
    <w:p w:rsidR="00945B7E" w:rsidP="00945B7E" w:rsidRDefault="00945B7E" w14:paraId="724BA530" w14:textId="5FD1409E">
      <w:pPr>
        <w:pStyle w:val="NoSpacing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Use of Point-of-Care Antigen Testing Equipment</w:t>
      </w:r>
    </w:p>
    <w:p w:rsidRPr="007869C7" w:rsidR="00A60BDA" w:rsidP="00945B7E" w:rsidRDefault="00A60BDA" w14:paraId="79A8DC37" w14:textId="698F015C">
      <w:pPr>
        <w:pStyle w:val="NoSpacing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Quality Control and Calibration of Equipment</w:t>
      </w:r>
    </w:p>
    <w:p w:rsidRPr="007869C7" w:rsidR="00945B7E" w:rsidP="00945B7E" w:rsidRDefault="00945B7E" w14:paraId="5B0D1B12" w14:textId="77777777">
      <w:pPr>
        <w:pStyle w:val="NoSpacing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 xml:space="preserve">Cleaning and Disinfection </w:t>
      </w:r>
    </w:p>
    <w:p w:rsidRPr="007869C7" w:rsidR="00945B7E" w:rsidP="00945B7E" w:rsidRDefault="00945B7E" w14:paraId="20D46C77" w14:textId="77777777">
      <w:pPr>
        <w:pStyle w:val="NoSpacing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Reporting Antigen Testing</w:t>
      </w:r>
    </w:p>
    <w:p w:rsidRPr="007869C7" w:rsidR="00945B7E" w:rsidP="00945B7E" w:rsidRDefault="00945B7E" w14:paraId="1051CC6D" w14:textId="77777777">
      <w:pPr>
        <w:pStyle w:val="NoSpacing"/>
        <w:numPr>
          <w:ilvl w:val="0"/>
          <w:numId w:val="39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Documentation</w:t>
      </w:r>
    </w:p>
    <w:p w:rsidRPr="007869C7" w:rsidR="001221F3" w:rsidP="00945B7E" w:rsidRDefault="001221F3" w14:paraId="51BB88FB" w14:textId="77777777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:rsidRPr="007869C7" w:rsidR="00945B7E" w:rsidP="00945B7E" w:rsidRDefault="00945B7E" w14:paraId="270A5DA6" w14:textId="1B060A08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7869C7">
        <w:rPr>
          <w:rFonts w:ascii="Calibri" w:hAnsi="Calibri" w:cs="Calibri"/>
          <w:b/>
          <w:bCs/>
          <w:sz w:val="24"/>
          <w:szCs w:val="24"/>
        </w:rPr>
        <w:lastRenderedPageBreak/>
        <w:t>Staff Competencies with COVID-19 Testing include but are not limited to:</w:t>
      </w:r>
    </w:p>
    <w:p w:rsidRPr="007869C7" w:rsidR="00945B7E" w:rsidP="00945B7E" w:rsidRDefault="00945B7E" w14:paraId="53B771FC" w14:textId="77777777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:rsidRPr="007869C7" w:rsidR="00945B7E" w:rsidP="00945B7E" w:rsidRDefault="00945B7E" w14:paraId="3F9CB1BB" w14:textId="77777777">
      <w:pPr>
        <w:pStyle w:val="NoSpacing"/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Ability to follow proper hand hygiene practices</w:t>
      </w:r>
    </w:p>
    <w:p w:rsidRPr="007869C7" w:rsidR="00945B7E" w:rsidP="00945B7E" w:rsidRDefault="00945B7E" w14:paraId="795B1CF6" w14:textId="1541DC9A">
      <w:pPr>
        <w:pStyle w:val="NoSpacing"/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 xml:space="preserve">Demonstration of ability to properly </w:t>
      </w:r>
      <w:r w:rsidRPr="007869C7" w:rsidR="00A8152C">
        <w:rPr>
          <w:rFonts w:ascii="Calibri" w:hAnsi="Calibri" w:cs="Calibri"/>
          <w:sz w:val="24"/>
          <w:szCs w:val="24"/>
        </w:rPr>
        <w:t xml:space="preserve">select and </w:t>
      </w:r>
      <w:r w:rsidRPr="007869C7">
        <w:rPr>
          <w:rFonts w:ascii="Calibri" w:hAnsi="Calibri" w:cs="Calibri"/>
          <w:sz w:val="24"/>
          <w:szCs w:val="24"/>
        </w:rPr>
        <w:t>don and doff Personal Protective Equipment including proper use, removal, and storage of medical grade face masks</w:t>
      </w:r>
    </w:p>
    <w:p w:rsidRPr="007869C7" w:rsidR="00945B7E" w:rsidP="00945B7E" w:rsidRDefault="00945B7E" w14:paraId="3772F4E4" w14:textId="77777777">
      <w:pPr>
        <w:pStyle w:val="NoSpacing"/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Demonstration of Specimen Collection</w:t>
      </w:r>
    </w:p>
    <w:p w:rsidRPr="007869C7" w:rsidR="00945B7E" w:rsidP="00945B7E" w:rsidRDefault="00945B7E" w14:paraId="50299B7B" w14:textId="77777777">
      <w:pPr>
        <w:pStyle w:val="NoSpacing"/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Demonstration of Point-of-Care COVID-19 Antigen testing</w:t>
      </w:r>
    </w:p>
    <w:p w:rsidRPr="007869C7" w:rsidR="00945B7E" w:rsidP="00945B7E" w:rsidRDefault="00945B7E" w14:paraId="673E908D" w14:textId="77777777">
      <w:pPr>
        <w:pStyle w:val="NoSpacing"/>
        <w:numPr>
          <w:ilvl w:val="0"/>
          <w:numId w:val="40"/>
        </w:numPr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>Ability to describe actions to prevent the transmission of COVID-19 with positive results</w:t>
      </w:r>
    </w:p>
    <w:p w:rsidR="00A60BDA" w:rsidP="00945B7E" w:rsidRDefault="00A60BDA" w14:paraId="34B02164" w14:textId="66C86702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:rsidR="00A60BDA" w:rsidP="00945B7E" w:rsidRDefault="00A60BDA" w14:paraId="3124A2F3" w14:textId="3CCD76BF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:rsidR="00FA1651" w:rsidP="00945B7E" w:rsidRDefault="00FA1651" w14:paraId="3151423F" w14:textId="156741F5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:rsidR="00FA1651" w:rsidP="00945B7E" w:rsidRDefault="00FA1651" w14:paraId="355A0A07" w14:textId="77777777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:rsidR="007869C7" w:rsidP="00945B7E" w:rsidRDefault="007869C7" w14:paraId="03E22731" w14:textId="77777777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:rsidR="00BC6169" w:rsidP="00945B7E" w:rsidRDefault="00BC6169" w14:paraId="7479034B" w14:textId="77777777">
      <w:pPr>
        <w:pStyle w:val="NoSpacing"/>
        <w:rPr>
          <w:rFonts w:ascii="Calibri" w:hAnsi="Calibri" w:cs="Calibri"/>
          <w:b/>
          <w:bCs/>
          <w:sz w:val="24"/>
          <w:szCs w:val="24"/>
        </w:rPr>
      </w:pPr>
    </w:p>
    <w:p w:rsidRPr="007869C7" w:rsidR="00945B7E" w:rsidP="00945B7E" w:rsidRDefault="00945B7E" w14:paraId="285E0E64" w14:textId="3153BCA6">
      <w:pPr>
        <w:pStyle w:val="NoSpacing"/>
        <w:rPr>
          <w:rFonts w:ascii="Calibri" w:hAnsi="Calibri" w:cs="Calibri"/>
          <w:b/>
          <w:bCs/>
          <w:sz w:val="24"/>
          <w:szCs w:val="24"/>
        </w:rPr>
      </w:pPr>
      <w:r w:rsidRPr="007869C7">
        <w:rPr>
          <w:rFonts w:ascii="Calibri" w:hAnsi="Calibri" w:cs="Calibri"/>
          <w:b/>
          <w:bCs/>
          <w:sz w:val="24"/>
          <w:szCs w:val="24"/>
        </w:rPr>
        <w:t>References and Resources:</w:t>
      </w:r>
    </w:p>
    <w:p w:rsidRPr="007869C7" w:rsidR="00945B7E" w:rsidP="00945B7E" w:rsidRDefault="00945B7E" w14:paraId="3B5AE918" w14:textId="77777777">
      <w:pPr>
        <w:pStyle w:val="NoSpacing"/>
        <w:rPr>
          <w:rFonts w:ascii="Calibri" w:hAnsi="Calibri" w:cs="Calibri"/>
          <w:sz w:val="24"/>
          <w:szCs w:val="24"/>
        </w:rPr>
      </w:pPr>
    </w:p>
    <w:p w:rsidRPr="007869C7" w:rsidR="00945B7E" w:rsidP="00945B7E" w:rsidRDefault="00945B7E" w14:paraId="29AD2499" w14:textId="6C077B39">
      <w:pPr>
        <w:pStyle w:val="NoSpacing"/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  <w:vertAlign w:val="superscript"/>
        </w:rPr>
        <w:t>1</w:t>
      </w:r>
      <w:r w:rsidRPr="007869C7">
        <w:rPr>
          <w:rFonts w:ascii="Calibri" w:hAnsi="Calibri" w:cs="Calibri"/>
          <w:sz w:val="24"/>
          <w:szCs w:val="24"/>
        </w:rPr>
        <w:t xml:space="preserve">Centers for Medicare &amp; Medicaid Services.  Interim Final Rule (IFC), CMS-3401-IFC, Additional Policy and Regulatory Revisions in Response to the COVID-19 Public Health Emergency related to Long-Term Care (LTC) Facility Testing Requirements and Revised COVID19 Focused Survey Tool.  QSO-20-38-NH.  </w:t>
      </w:r>
      <w:r w:rsidR="005F5E7B">
        <w:rPr>
          <w:rFonts w:ascii="Calibri" w:hAnsi="Calibri" w:cs="Calibri"/>
          <w:sz w:val="24"/>
          <w:szCs w:val="24"/>
        </w:rPr>
        <w:t>Revised 09/23/2022</w:t>
      </w:r>
      <w:r w:rsidR="00FA1651">
        <w:rPr>
          <w:rFonts w:ascii="Calibri" w:hAnsi="Calibri" w:cs="Calibri"/>
          <w:sz w:val="24"/>
          <w:szCs w:val="24"/>
        </w:rPr>
        <w:t>:</w:t>
      </w:r>
      <w:r w:rsidRPr="007869C7">
        <w:rPr>
          <w:rFonts w:ascii="Calibri" w:hAnsi="Calibri" w:cs="Calibri"/>
          <w:sz w:val="24"/>
          <w:szCs w:val="24"/>
        </w:rPr>
        <w:t xml:space="preserve">  </w:t>
      </w:r>
      <w:hyperlink w:history="1" r:id="rId13">
        <w:r w:rsidRPr="00235DE5" w:rsidR="005F5E7B">
          <w:rPr>
            <w:rStyle w:val="Hyperlink"/>
          </w:rPr>
          <w:t>https://www.cms.gov/files/document/qso-20-38-nh-revised.pdf</w:t>
        </w:r>
      </w:hyperlink>
      <w:r w:rsidR="005F5E7B">
        <w:t xml:space="preserve"> </w:t>
      </w:r>
    </w:p>
    <w:p w:rsidR="00891765" w:rsidP="00945B7E" w:rsidRDefault="00891765" w14:paraId="7A3DBECB" w14:noSpellErr="1" w14:textId="2BCE043B">
      <w:pPr>
        <w:pStyle w:val="NoSpacing"/>
        <w:rPr>
          <w:rFonts w:ascii="Calibri" w:hAnsi="Calibri" w:cs="Calibri"/>
          <w:sz w:val="24"/>
          <w:szCs w:val="24"/>
        </w:rPr>
      </w:pPr>
    </w:p>
    <w:p w:rsidRPr="00891765" w:rsidR="00891765" w:rsidP="00945B7E" w:rsidRDefault="00891765" w14:paraId="24C9A026" w14:textId="34A05612">
      <w:pPr>
        <w:pStyle w:val="NoSpacing"/>
        <w:rPr>
          <w:rFonts w:ascii="Calibri" w:hAnsi="Calibri" w:cs="Calibri"/>
          <w:sz w:val="24"/>
          <w:szCs w:val="24"/>
        </w:rPr>
      </w:pPr>
      <w:r w:rsidRPr="5162EF34" w:rsidR="2279F0E6">
        <w:rPr>
          <w:rFonts w:ascii="Calibri" w:hAnsi="Calibri" w:cs="Calibri"/>
          <w:sz w:val="24"/>
          <w:szCs w:val="24"/>
          <w:vertAlign w:val="superscript"/>
        </w:rPr>
        <w:t>2</w:t>
      </w:r>
      <w:r w:rsidRPr="5162EF34" w:rsidR="00891765">
        <w:rPr>
          <w:rFonts w:ascii="Calibri" w:hAnsi="Calibri" w:cs="Calibri"/>
          <w:sz w:val="24"/>
          <w:szCs w:val="24"/>
        </w:rPr>
        <w:t>Centers for Disease Control and Prevention</w:t>
      </w:r>
      <w:r w:rsidRPr="5162EF34" w:rsidR="00891765">
        <w:rPr>
          <w:rFonts w:ascii="Calibri" w:hAnsi="Calibri" w:cs="Calibri"/>
          <w:sz w:val="24"/>
          <w:szCs w:val="24"/>
        </w:rPr>
        <w:t xml:space="preserve">.  </w:t>
      </w:r>
      <w:r w:rsidRPr="5162EF34" w:rsidR="00891765">
        <w:rPr>
          <w:rFonts w:ascii="Calibri" w:hAnsi="Calibri" w:cs="Calibri"/>
          <w:sz w:val="24"/>
          <w:szCs w:val="24"/>
        </w:rPr>
        <w:t>Guidance for Antigen Testing for SARS-CoV-2 for Healthcare Providers Testing Individuals in the Community</w:t>
      </w:r>
      <w:r w:rsidRPr="5162EF34" w:rsidR="00891765">
        <w:rPr>
          <w:rFonts w:ascii="Calibri" w:hAnsi="Calibri" w:cs="Calibri"/>
          <w:sz w:val="24"/>
          <w:szCs w:val="24"/>
        </w:rPr>
        <w:t xml:space="preserve">.  </w:t>
      </w:r>
      <w:r w:rsidRPr="5162EF34" w:rsidR="00891765">
        <w:rPr>
          <w:rFonts w:ascii="Calibri" w:hAnsi="Calibri" w:cs="Calibri"/>
          <w:sz w:val="24"/>
          <w:szCs w:val="24"/>
        </w:rPr>
        <w:t xml:space="preserve">Updated Apr. 4, 2022:  </w:t>
      </w:r>
      <w:hyperlink r:id="R485e938f318649ca">
        <w:r w:rsidRPr="5162EF34" w:rsidR="00891765">
          <w:rPr>
            <w:rStyle w:val="Hyperlink"/>
            <w:rFonts w:ascii="Calibri" w:hAnsi="Calibri" w:cs="Calibri"/>
            <w:sz w:val="24"/>
            <w:szCs w:val="24"/>
          </w:rPr>
          <w:t>https://www.cdc.gov/coronavirus/2019-ncov/lab/resources/antigen-tests-guidelines.html</w:t>
        </w:r>
      </w:hyperlink>
      <w:r w:rsidRPr="5162EF34" w:rsidR="00891765">
        <w:rPr>
          <w:rFonts w:ascii="Calibri" w:hAnsi="Calibri" w:cs="Calibri"/>
          <w:sz w:val="24"/>
          <w:szCs w:val="24"/>
        </w:rPr>
        <w:t xml:space="preserve"> </w:t>
      </w:r>
    </w:p>
    <w:p w:rsidR="00891765" w:rsidP="00945B7E" w:rsidRDefault="00891765" w14:paraId="4C43A986" w14:textId="77777777">
      <w:pPr>
        <w:pStyle w:val="NoSpacing"/>
        <w:rPr>
          <w:rFonts w:ascii="Calibri" w:hAnsi="Calibri" w:cs="Calibri"/>
          <w:sz w:val="24"/>
          <w:szCs w:val="24"/>
        </w:rPr>
      </w:pPr>
    </w:p>
    <w:p w:rsidRPr="00BC6169" w:rsidR="00BC6169" w:rsidP="12D3B19A" w:rsidRDefault="00BC6169" w14:paraId="5A7E4815" w14:textId="0695447B">
      <w:pPr>
        <w:pStyle w:val="NoSpacing"/>
        <w:rPr>
          <w:rFonts w:cs="Calibri" w:cstheme="minorAscii"/>
          <w:sz w:val="24"/>
          <w:szCs w:val="24"/>
        </w:rPr>
      </w:pPr>
      <w:r w:rsidRPr="12D3B19A" w:rsidR="387C2CFD">
        <w:rPr>
          <w:rFonts w:cs="Calibri" w:cstheme="minorAscii"/>
          <w:sz w:val="24"/>
          <w:szCs w:val="24"/>
          <w:vertAlign w:val="superscript"/>
        </w:rPr>
        <w:t>3</w:t>
      </w:r>
      <w:r w:rsidRPr="12D3B19A" w:rsidR="387C2CFD">
        <w:rPr>
          <w:rFonts w:cs="Calibri" w:cstheme="minorAscii"/>
          <w:sz w:val="24"/>
          <w:szCs w:val="24"/>
        </w:rPr>
        <w:t>Centers for Disease Control and Prevention</w:t>
      </w:r>
      <w:r w:rsidRPr="12D3B19A" w:rsidR="387C2CFD">
        <w:rPr>
          <w:rFonts w:cs="Calibri" w:cstheme="minorAscii"/>
          <w:sz w:val="24"/>
          <w:szCs w:val="24"/>
        </w:rPr>
        <w:t xml:space="preserve">.  </w:t>
      </w:r>
      <w:r w:rsidRPr="12D3B19A" w:rsidR="387C2CFD">
        <w:rPr>
          <w:rFonts w:cs="Calibri" w:cstheme="minorAscii"/>
          <w:sz w:val="24"/>
          <w:szCs w:val="24"/>
        </w:rPr>
        <w:t>How to Report COVID-19 Laboratory Data</w:t>
      </w:r>
      <w:r w:rsidRPr="12D3B19A" w:rsidR="387C2CFD">
        <w:rPr>
          <w:rFonts w:cs="Calibri" w:cstheme="minorAscii"/>
          <w:sz w:val="24"/>
          <w:szCs w:val="24"/>
        </w:rPr>
        <w:t xml:space="preserve">.  </w:t>
      </w:r>
      <w:r w:rsidRPr="12D3B19A" w:rsidR="387C2CFD">
        <w:rPr>
          <w:rFonts w:cs="Calibri" w:cstheme="minorAscii"/>
          <w:sz w:val="24"/>
          <w:szCs w:val="24"/>
        </w:rPr>
        <w:t xml:space="preserve">Updated Apr. 4, 2022:  </w:t>
      </w:r>
      <w:hyperlink w:anchor="who-must-report" r:id="Rb919f12453ee40b6">
        <w:r w:rsidRPr="12D3B19A" w:rsidR="387C2CFD">
          <w:rPr>
            <w:rStyle w:val="Hyperlink"/>
            <w:rFonts w:cs="Calibri" w:cstheme="minorAscii"/>
            <w:sz w:val="24"/>
            <w:szCs w:val="24"/>
          </w:rPr>
          <w:t>https://www.cdc.gov/coronavirus/2019-ncov/lab/reporting-lab-dat</w:t>
        </w:r>
        <w:r w:rsidRPr="12D3B19A" w:rsidR="689EE3AF">
          <w:rPr>
            <w:rStyle w:val="Hyperlink"/>
            <w:rFonts w:cs="Calibri" w:cstheme="minorAscii"/>
            <w:sz w:val="24"/>
            <w:szCs w:val="24"/>
          </w:rPr>
          <w:t>a.html#who-must-report</w:t>
        </w:r>
      </w:hyperlink>
      <w:r w:rsidRPr="12D3B19A" w:rsidR="689EE3AF">
        <w:rPr>
          <w:rFonts w:cs="Calibri" w:cstheme="minorAscii"/>
          <w:sz w:val="24"/>
          <w:szCs w:val="24"/>
        </w:rPr>
        <w:t xml:space="preserve"> </w:t>
      </w:r>
    </w:p>
    <w:p w:rsidRPr="00BC6169" w:rsidR="00BC6169" w:rsidP="12D3B19A" w:rsidRDefault="00BC6169" w14:paraId="69585E88" w14:textId="74DE67A6">
      <w:pPr>
        <w:pStyle w:val="NoSpacing"/>
        <w:rPr>
          <w:rFonts w:cs="Calibri" w:cstheme="minorAscii"/>
          <w:sz w:val="24"/>
          <w:szCs w:val="24"/>
        </w:rPr>
      </w:pPr>
    </w:p>
    <w:p w:rsidRPr="00BC6169" w:rsidR="00BC6169" w:rsidP="12D3B19A" w:rsidRDefault="00BC6169" w14:paraId="6923B370" w14:textId="71A8DBF5">
      <w:pPr>
        <w:pStyle w:val="NoSpacing"/>
        <w:rPr>
          <w:rFonts w:cs="Calibri" w:cstheme="minorAscii"/>
          <w:sz w:val="24"/>
          <w:szCs w:val="24"/>
        </w:rPr>
      </w:pPr>
      <w:r w:rsidRPr="12D3B19A" w:rsidR="283DF40B">
        <w:rPr>
          <w:rFonts w:cs="Calibri" w:cstheme="minorAscii"/>
          <w:sz w:val="22"/>
          <w:szCs w:val="22"/>
          <w:vertAlign w:val="superscript"/>
        </w:rPr>
        <w:t>4</w:t>
      </w:r>
      <w:r w:rsidRPr="12D3B19A" w:rsidR="00BC6169">
        <w:rPr>
          <w:rFonts w:cs="Calibri" w:cstheme="minorAscii"/>
          <w:sz w:val="24"/>
          <w:szCs w:val="24"/>
        </w:rPr>
        <w:t xml:space="preserve">Centers </w:t>
      </w:r>
      <w:r w:rsidRPr="12D3B19A" w:rsidR="06E24367">
        <w:rPr>
          <w:rFonts w:cs="Calibri" w:cstheme="minorAscii"/>
          <w:sz w:val="24"/>
          <w:szCs w:val="24"/>
        </w:rPr>
        <w:t>for Disease Control and Prevention</w:t>
      </w:r>
      <w:r w:rsidRPr="12D3B19A" w:rsidR="06E24367">
        <w:rPr>
          <w:rFonts w:cs="Calibri" w:cstheme="minorAscii"/>
          <w:sz w:val="24"/>
          <w:szCs w:val="24"/>
        </w:rPr>
        <w:t xml:space="preserve">.  </w:t>
      </w:r>
      <w:r w:rsidRPr="12D3B19A" w:rsidR="06E24367">
        <w:rPr>
          <w:rFonts w:cs="Calibri" w:cstheme="minorAscii"/>
          <w:sz w:val="24"/>
          <w:szCs w:val="24"/>
        </w:rPr>
        <w:t>Guidance for SARS-CoV-2 Rapid Testing Performed in Point-of-Care Settings</w:t>
      </w:r>
      <w:r w:rsidRPr="12D3B19A" w:rsidR="06E24367">
        <w:rPr>
          <w:rFonts w:cs="Calibri" w:cstheme="minorAscii"/>
          <w:sz w:val="24"/>
          <w:szCs w:val="24"/>
        </w:rPr>
        <w:t xml:space="preserve">.  </w:t>
      </w:r>
      <w:r w:rsidRPr="12D3B19A" w:rsidR="06E24367">
        <w:rPr>
          <w:rFonts w:cs="Calibri" w:cstheme="minorAscii"/>
          <w:sz w:val="24"/>
          <w:szCs w:val="24"/>
        </w:rPr>
        <w:t xml:space="preserve">Updated Apr. 4, 2022:  </w:t>
      </w:r>
      <w:hyperlink r:id="R6d7db534669a4c63">
        <w:r w:rsidRPr="12D3B19A" w:rsidR="06E24367">
          <w:rPr>
            <w:rStyle w:val="Hyperlink"/>
            <w:rFonts w:cs="Calibri" w:cstheme="minorAscii"/>
            <w:sz w:val="24"/>
            <w:szCs w:val="24"/>
          </w:rPr>
          <w:t>https://www.cdc.gov/coronavirus/2019-ncov</w:t>
        </w:r>
        <w:r w:rsidRPr="12D3B19A" w:rsidR="7461015A">
          <w:rPr>
            <w:rStyle w:val="Hyperlink"/>
            <w:rFonts w:cs="Calibri" w:cstheme="minorAscii"/>
            <w:sz w:val="24"/>
            <w:szCs w:val="24"/>
          </w:rPr>
          <w:t>/lab/point-of-care-testing.html</w:t>
        </w:r>
      </w:hyperlink>
      <w:r w:rsidRPr="12D3B19A" w:rsidR="7461015A">
        <w:rPr>
          <w:rFonts w:cs="Calibri" w:cstheme="minorAscii"/>
          <w:sz w:val="24"/>
          <w:szCs w:val="24"/>
        </w:rPr>
        <w:t xml:space="preserve"> </w:t>
      </w:r>
    </w:p>
    <w:p w:rsidRPr="00BC6169" w:rsidR="00BC6169" w:rsidP="12D3B19A" w:rsidRDefault="00BC6169" w14:paraId="159A54CE" w14:textId="73542726">
      <w:pPr>
        <w:pStyle w:val="NoSpacing"/>
        <w:rPr>
          <w:rFonts w:cs="Calibri" w:cstheme="minorAscii"/>
          <w:sz w:val="24"/>
          <w:szCs w:val="24"/>
        </w:rPr>
      </w:pPr>
    </w:p>
    <w:p w:rsidRPr="00BC6169" w:rsidR="00BC6169" w:rsidP="12D3B19A" w:rsidRDefault="00BC6169" w14:paraId="0001B706" w14:textId="7B1254CC">
      <w:pPr>
        <w:pStyle w:val="NoSpacing"/>
        <w:rPr>
          <w:rStyle w:val="Hyperlink"/>
          <w:rFonts w:cs="Calibri" w:cstheme="minorAscii"/>
          <w:sz w:val="24"/>
          <w:szCs w:val="24"/>
        </w:rPr>
      </w:pPr>
      <w:r w:rsidRPr="12D3B19A" w:rsidR="06E24367">
        <w:rPr>
          <w:rFonts w:cs="Calibri" w:cstheme="minorAscii"/>
          <w:sz w:val="24"/>
          <w:szCs w:val="24"/>
        </w:rPr>
        <w:t xml:space="preserve">Centers </w:t>
      </w:r>
      <w:r w:rsidRPr="12D3B19A" w:rsidR="00BC6169">
        <w:rPr>
          <w:rFonts w:cs="Calibri" w:cstheme="minorAscii"/>
          <w:sz w:val="24"/>
          <w:szCs w:val="24"/>
        </w:rPr>
        <w:t>for Disease Control and Pre</w:t>
      </w:r>
      <w:r w:rsidRPr="12D3B19A" w:rsidR="00BC6169">
        <w:rPr>
          <w:rFonts w:cs="Calibri" w:cstheme="minorAscii"/>
          <w:sz w:val="24"/>
          <w:szCs w:val="24"/>
        </w:rPr>
        <w:t>ven</w:t>
      </w:r>
      <w:r w:rsidRPr="12D3B19A" w:rsidR="00BC6169">
        <w:rPr>
          <w:rFonts w:cs="Calibri" w:cstheme="minorAscii"/>
          <w:sz w:val="24"/>
          <w:szCs w:val="24"/>
        </w:rPr>
        <w:t>tion</w:t>
      </w:r>
      <w:r w:rsidRPr="12D3B19A" w:rsidR="00BC6169">
        <w:rPr>
          <w:rFonts w:cs="Calibri" w:cstheme="minorAscii"/>
          <w:sz w:val="24"/>
          <w:szCs w:val="24"/>
        </w:rPr>
        <w:t xml:space="preserve">.  </w:t>
      </w:r>
      <w:r w:rsidRPr="12D3B19A" w:rsidR="00BC6169">
        <w:rPr>
          <w:rFonts w:cs="Calibri" w:cstheme="minorAscii"/>
          <w:sz w:val="24"/>
          <w:szCs w:val="24"/>
        </w:rPr>
        <w:t xml:space="preserve">Interim Infection Prevention and Control Recommendations for Healthcare Personnel During the Coronavirus Disease 2019 (COVID-19) Pandemic), Updated Sept. 23, 2022:  </w:t>
      </w:r>
      <w:hyperlink r:id="R1dfc6fed0a944114">
        <w:r w:rsidRPr="12D3B19A" w:rsidR="00BC6169">
          <w:rPr>
            <w:rStyle w:val="Hyperlink"/>
            <w:rFonts w:cs="Calibri" w:cstheme="minorAscii"/>
            <w:sz w:val="24"/>
            <w:szCs w:val="24"/>
          </w:rPr>
          <w:t>https://www.cdc.gov/coronavirus/2019-ncov/hcp/infection-control-recommendations.html</w:t>
        </w:r>
      </w:hyperlink>
      <w:r w:rsidRPr="12D3B19A" w:rsidR="00BC6169">
        <w:rPr>
          <w:rFonts w:cs="Calibri" w:cstheme="minorAscii"/>
          <w:sz w:val="24"/>
          <w:szCs w:val="24"/>
        </w:rPr>
        <w:t xml:space="preserve">  </w:t>
      </w:r>
    </w:p>
    <w:p w:rsidRPr="00BC6169" w:rsidR="00BC6169" w:rsidP="00945B7E" w:rsidRDefault="00BC6169" w14:paraId="1DA43B7D" w14:textId="2CC902F6">
      <w:pPr>
        <w:pStyle w:val="NoSpacing"/>
        <w:rPr>
          <w:rFonts w:cstheme="minorHAnsi"/>
          <w:sz w:val="24"/>
          <w:szCs w:val="24"/>
        </w:rPr>
      </w:pPr>
    </w:p>
    <w:p w:rsidRPr="00BC6169" w:rsidR="00BC6169" w:rsidP="00BC6169" w:rsidRDefault="00BC6169" w14:paraId="67A6FD72" w14:textId="77777777">
      <w:pPr>
        <w:pStyle w:val="NoSpacing"/>
        <w:rPr>
          <w:rFonts w:cstheme="minorHAnsi"/>
          <w:sz w:val="24"/>
          <w:szCs w:val="24"/>
        </w:rPr>
      </w:pPr>
      <w:r w:rsidRPr="00BC6169">
        <w:rPr>
          <w:rFonts w:cstheme="minorHAnsi"/>
          <w:sz w:val="24"/>
          <w:szCs w:val="24"/>
        </w:rPr>
        <w:lastRenderedPageBreak/>
        <w:t>Centers for Medicare and Medicaid Services. Long Term Care Survey Pathway Infection Prevention, Control, and Immunizations (CMS-20054) Updated 10/2022:</w:t>
      </w:r>
    </w:p>
    <w:p w:rsidRPr="00BC6169" w:rsidR="00BC6169" w:rsidP="00BC6169" w:rsidRDefault="00BC6169" w14:paraId="0C55F6FA" w14:textId="77777777">
      <w:pPr>
        <w:rPr>
          <w:rFonts w:asciiTheme="minorHAnsi" w:hAnsiTheme="minorHAnsi" w:cstheme="minorHAnsi"/>
          <w:szCs w:val="24"/>
        </w:rPr>
      </w:pPr>
      <w:r w:rsidRPr="00BC6169">
        <w:rPr>
          <w:rFonts w:asciiTheme="minorHAnsi" w:hAnsiTheme="minorHAnsi" w:cstheme="minorHAnsi"/>
          <w:szCs w:val="24"/>
        </w:rPr>
        <w:t xml:space="preserve">Available for download at: </w:t>
      </w:r>
      <w:hyperlink w:history="1" r:id="rId18">
        <w:r w:rsidRPr="00BC6169">
          <w:rPr>
            <w:rStyle w:val="Hyperlink"/>
            <w:rFonts w:asciiTheme="minorHAnsi" w:hAnsiTheme="minorHAnsi" w:cstheme="minorHAnsi"/>
            <w:szCs w:val="24"/>
          </w:rPr>
          <w:t>https://www.cms.gov/Medicare/Provider-Enrollment-and-Certification/GuidanceforLawsAndRegulations/Nursing-Homes</w:t>
        </w:r>
      </w:hyperlink>
      <w:r w:rsidRPr="00BC6169">
        <w:rPr>
          <w:rFonts w:asciiTheme="minorHAnsi" w:hAnsiTheme="minorHAnsi" w:cstheme="minorHAnsi"/>
          <w:szCs w:val="24"/>
        </w:rPr>
        <w:t xml:space="preserve"> </w:t>
      </w:r>
    </w:p>
    <w:p w:rsidR="00BC6169" w:rsidP="00945B7E" w:rsidRDefault="00BC6169" w14:paraId="2ADF3A18" w14:textId="77777777">
      <w:pPr>
        <w:pStyle w:val="NoSpacing"/>
        <w:rPr>
          <w:rFonts w:ascii="Calibri" w:hAnsi="Calibri" w:cs="Calibri"/>
          <w:sz w:val="24"/>
          <w:szCs w:val="24"/>
        </w:rPr>
      </w:pPr>
    </w:p>
    <w:p w:rsidRPr="007869C7" w:rsidR="00945B7E" w:rsidP="00945B7E" w:rsidRDefault="00945B7E" w14:paraId="2BAD9821" w14:textId="408AE0CF">
      <w:pPr>
        <w:pStyle w:val="NoSpacing"/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 xml:space="preserve">Centers for Medicare &amp; Medicaid Services.  Interim Final Rule (IFC), CMS-3401-IFC, Updating Requirements for Reporting of SARS-CoV-2 Test Results by Clinical Laboratory Improvement Amendments of 1988 (CLIA) Laboratories, and Additional Policy and Regulatory Revisions in Response to the COVID-19 Public Health Emergency.  QSO-20-37-CLIA, NH.  August 26, 2020:  </w:t>
      </w:r>
      <w:hyperlink w:history="1" r:id="rId19">
        <w:r w:rsidRPr="007869C7">
          <w:rPr>
            <w:rStyle w:val="Hyperlink"/>
            <w:rFonts w:ascii="Calibri" w:hAnsi="Calibri" w:cs="Calibri"/>
            <w:sz w:val="24"/>
            <w:szCs w:val="24"/>
          </w:rPr>
          <w:t>https://www.cms.gov/files/document/qso-20-37-clianh.pdf</w:t>
        </w:r>
      </w:hyperlink>
      <w:r w:rsidRPr="007869C7">
        <w:rPr>
          <w:rFonts w:ascii="Calibri" w:hAnsi="Calibri" w:cs="Calibri"/>
          <w:sz w:val="24"/>
          <w:szCs w:val="24"/>
        </w:rPr>
        <w:t xml:space="preserve"> </w:t>
      </w:r>
    </w:p>
    <w:p w:rsidRPr="007869C7" w:rsidR="007F4486" w:rsidP="00945B7E" w:rsidRDefault="007F4486" w14:paraId="5391BCE1" w14:textId="37E6640E">
      <w:pPr>
        <w:pStyle w:val="NoSpacing"/>
        <w:rPr>
          <w:rFonts w:ascii="Calibri" w:hAnsi="Calibri" w:cs="Calibri"/>
          <w:sz w:val="24"/>
          <w:szCs w:val="24"/>
        </w:rPr>
      </w:pPr>
    </w:p>
    <w:p w:rsidR="007F4486" w:rsidP="00945B7E" w:rsidRDefault="007F4486" w14:paraId="1C99383E" w14:textId="7ABF1B27">
      <w:pPr>
        <w:pStyle w:val="NoSpacing"/>
        <w:rPr>
          <w:rFonts w:ascii="Calibri" w:hAnsi="Calibri" w:cs="Calibri"/>
          <w:color w:val="0000FF"/>
          <w:sz w:val="24"/>
          <w:szCs w:val="24"/>
          <w:u w:val="single"/>
        </w:rPr>
      </w:pPr>
      <w:r w:rsidRPr="007869C7">
        <w:rPr>
          <w:rFonts w:ascii="Calibri" w:hAnsi="Calibri" w:cs="Calibri"/>
          <w:sz w:val="24"/>
          <w:szCs w:val="24"/>
        </w:rPr>
        <w:t xml:space="preserve">Centers for Disease Control and Prevention (CDC).  Interim Guidelines for Collecting, Handling </w:t>
      </w:r>
      <w:r w:rsidR="00E814A1">
        <w:rPr>
          <w:rFonts w:ascii="Calibri" w:hAnsi="Calibri" w:cs="Calibri"/>
          <w:sz w:val="24"/>
          <w:szCs w:val="24"/>
        </w:rPr>
        <w:t>of</w:t>
      </w:r>
      <w:r w:rsidRPr="007869C7">
        <w:rPr>
          <w:rFonts w:ascii="Calibri" w:hAnsi="Calibri" w:cs="Calibri"/>
          <w:sz w:val="24"/>
          <w:szCs w:val="24"/>
        </w:rPr>
        <w:t xml:space="preserve"> Clinical Specimens for COVID-19</w:t>
      </w:r>
      <w:r w:rsidR="00E814A1">
        <w:rPr>
          <w:rFonts w:ascii="Calibri" w:hAnsi="Calibri" w:cs="Calibri"/>
          <w:sz w:val="24"/>
          <w:szCs w:val="24"/>
        </w:rPr>
        <w:t xml:space="preserve"> Testing,</w:t>
      </w:r>
      <w:r w:rsidRPr="007869C7">
        <w:rPr>
          <w:rFonts w:ascii="Calibri" w:hAnsi="Calibri" w:cs="Calibri"/>
          <w:sz w:val="24"/>
          <w:szCs w:val="24"/>
        </w:rPr>
        <w:t xml:space="preserve"> Updated </w:t>
      </w:r>
      <w:r w:rsidR="00BC6169">
        <w:rPr>
          <w:rFonts w:ascii="Calibri" w:hAnsi="Calibri" w:cs="Calibri"/>
          <w:sz w:val="24"/>
          <w:szCs w:val="24"/>
        </w:rPr>
        <w:t>July 15,</w:t>
      </w:r>
      <w:r w:rsidRPr="007869C7">
        <w:rPr>
          <w:rFonts w:ascii="Calibri" w:hAnsi="Calibri" w:cs="Calibri"/>
          <w:sz w:val="24"/>
          <w:szCs w:val="24"/>
        </w:rPr>
        <w:t xml:space="preserve"> 202</w:t>
      </w:r>
      <w:r w:rsidR="00BC6169">
        <w:rPr>
          <w:rFonts w:ascii="Calibri" w:hAnsi="Calibri" w:cs="Calibri"/>
          <w:sz w:val="24"/>
          <w:szCs w:val="24"/>
        </w:rPr>
        <w:t>2</w:t>
      </w:r>
      <w:r w:rsidRPr="007869C7">
        <w:rPr>
          <w:rFonts w:ascii="Calibri" w:hAnsi="Calibri" w:cs="Calibri"/>
          <w:sz w:val="24"/>
          <w:szCs w:val="24"/>
        </w:rPr>
        <w:t xml:space="preserve">:  </w:t>
      </w:r>
      <w:hyperlink w:history="1" r:id="rId20">
        <w:r w:rsidRPr="007869C7">
          <w:rPr>
            <w:rFonts w:ascii="Calibri" w:hAnsi="Calibri" w:cs="Calibri"/>
            <w:color w:val="0000FF"/>
            <w:sz w:val="24"/>
            <w:szCs w:val="24"/>
            <w:u w:val="single"/>
          </w:rPr>
          <w:t>https://www.cdc.gov/coronavirus/2019-nCoV/lab/guidelines-clinical-specimens.html</w:t>
        </w:r>
      </w:hyperlink>
    </w:p>
    <w:p w:rsidRPr="007869C7" w:rsidR="007F4486" w:rsidP="007F4486" w:rsidRDefault="007F4486" w14:paraId="52B9C208" w14:textId="77777777">
      <w:pPr>
        <w:rPr>
          <w:rFonts w:ascii="Calibri" w:hAnsi="Calibri" w:cs="Calibri"/>
          <w:szCs w:val="24"/>
        </w:rPr>
      </w:pPr>
    </w:p>
    <w:p w:rsidR="00945B7E" w:rsidP="00945B7E" w:rsidRDefault="00590368" w14:paraId="30CAC894" w14:textId="4085DA31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Centers for Disease Control and Prevention.  COVID-19 Testing:  What You Need to Know, Updated September 28, 2022:  </w:t>
      </w:r>
      <w:hyperlink w:history="1" r:id="rId21">
        <w:r w:rsidRPr="007A2303">
          <w:rPr>
            <w:rStyle w:val="Hyperlink"/>
            <w:rFonts w:ascii="Calibri" w:hAnsi="Calibri" w:cs="Calibri"/>
            <w:sz w:val="24"/>
            <w:szCs w:val="24"/>
          </w:rPr>
          <w:t>https://www.cdc.gov/coronavirus/2019-ncov/symptoms-testing/testing.html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:rsidR="00590368" w:rsidP="00945B7E" w:rsidRDefault="00590368" w14:paraId="6A105866" w14:textId="101C2FA7">
      <w:pPr>
        <w:pStyle w:val="NoSpacing"/>
        <w:rPr>
          <w:rFonts w:ascii="Calibri" w:hAnsi="Calibri" w:cs="Calibri"/>
          <w:sz w:val="24"/>
          <w:szCs w:val="24"/>
        </w:rPr>
      </w:pPr>
    </w:p>
    <w:p w:rsidRPr="00590368" w:rsidR="00590368" w:rsidP="00590368" w:rsidRDefault="00590368" w14:paraId="17CC4F64" w14:textId="77777777">
      <w:pPr>
        <w:pStyle w:val="NoSpacing"/>
        <w:rPr>
          <w:rFonts w:ascii="Calibri" w:hAnsi="Calibri" w:cs="Calibri"/>
          <w:sz w:val="24"/>
          <w:szCs w:val="24"/>
        </w:rPr>
      </w:pPr>
      <w:r w:rsidRPr="00590368">
        <w:rPr>
          <w:rFonts w:ascii="Calibri" w:hAnsi="Calibri" w:cs="Calibri"/>
          <w:sz w:val="24"/>
          <w:szCs w:val="24"/>
        </w:rPr>
        <w:t xml:space="preserve">Centers for Disease Control and Prevention.  Guidance for SARS-CoV-2 Rapid Testing in Point-of-Care Settings, Updated Apr. 4, 2022:  </w:t>
      </w:r>
      <w:hyperlink w:history="1" r:id="rId22">
        <w:r w:rsidRPr="00590368">
          <w:rPr>
            <w:rStyle w:val="Hyperlink"/>
            <w:rFonts w:ascii="Calibri" w:hAnsi="Calibri" w:cs="Calibri"/>
            <w:sz w:val="24"/>
            <w:szCs w:val="24"/>
          </w:rPr>
          <w:t>https://www.cdc.gov/coronavirus/2019-ncov/lab/point-of-care-testing.html</w:t>
        </w:r>
      </w:hyperlink>
      <w:r w:rsidRPr="00590368">
        <w:rPr>
          <w:rFonts w:ascii="Calibri" w:hAnsi="Calibri" w:cs="Calibri"/>
          <w:sz w:val="24"/>
          <w:szCs w:val="24"/>
        </w:rPr>
        <w:t xml:space="preserve"> </w:t>
      </w:r>
    </w:p>
    <w:p w:rsidRPr="007869C7" w:rsidR="00590368" w:rsidP="00945B7E" w:rsidRDefault="00590368" w14:paraId="3B048DA3" w14:textId="77777777">
      <w:pPr>
        <w:pStyle w:val="NoSpacing"/>
        <w:rPr>
          <w:rFonts w:ascii="Calibri" w:hAnsi="Calibri" w:cs="Calibri"/>
          <w:sz w:val="24"/>
          <w:szCs w:val="24"/>
        </w:rPr>
      </w:pPr>
    </w:p>
    <w:p w:rsidRPr="007869C7" w:rsidR="00945B7E" w:rsidP="00945B7E" w:rsidRDefault="00945B7E" w14:paraId="6E7DB4FF" w14:textId="77777777">
      <w:pPr>
        <w:pStyle w:val="NoSpacing"/>
        <w:rPr>
          <w:rFonts w:ascii="Calibri" w:hAnsi="Calibri" w:cs="Calibri"/>
          <w:sz w:val="24"/>
          <w:szCs w:val="24"/>
        </w:rPr>
      </w:pPr>
      <w:r w:rsidRPr="007869C7">
        <w:rPr>
          <w:rFonts w:ascii="Calibri" w:hAnsi="Calibri" w:cs="Calibri"/>
          <w:sz w:val="24"/>
          <w:szCs w:val="24"/>
        </w:rPr>
        <w:t xml:space="preserve">United States Food &amp; Drug Administration (FDA).  In Vitro Diagnostics EUAs:  </w:t>
      </w:r>
      <w:hyperlink w:history="1" w:anchor="individual-antigen" r:id="rId23">
        <w:r w:rsidRPr="007869C7">
          <w:rPr>
            <w:rStyle w:val="Hyperlink"/>
            <w:rFonts w:ascii="Calibri" w:hAnsi="Calibri" w:cs="Calibri"/>
            <w:sz w:val="24"/>
            <w:szCs w:val="24"/>
          </w:rPr>
          <w:t>https://www.fda.gov/medical-devices/coronavirus-disease-2019-covid-19-emergency-use-authorizations-medical-devices/vitro-diagnostics-euas#individual-antigen</w:t>
        </w:r>
      </w:hyperlink>
      <w:r w:rsidRPr="007869C7">
        <w:rPr>
          <w:rFonts w:ascii="Calibri" w:hAnsi="Calibri" w:cs="Calibri"/>
          <w:sz w:val="24"/>
          <w:szCs w:val="24"/>
        </w:rPr>
        <w:t xml:space="preserve"> </w:t>
      </w:r>
    </w:p>
    <w:p w:rsidRPr="007869C7" w:rsidR="00945B7E" w:rsidP="00945B7E" w:rsidRDefault="00945B7E" w14:paraId="679595AB" w14:textId="77777777">
      <w:pPr>
        <w:rPr>
          <w:rFonts w:ascii="Calibri" w:hAnsi="Calibri" w:cs="Calibri"/>
          <w:szCs w:val="24"/>
        </w:rPr>
      </w:pPr>
    </w:p>
    <w:p w:rsidRPr="007869C7" w:rsidR="00945B7E" w:rsidP="00945B7E" w:rsidRDefault="00945B7E" w14:paraId="709BA4D9" w14:textId="77777777">
      <w:pPr>
        <w:rPr>
          <w:rFonts w:asciiTheme="minorHAnsi" w:hAnsiTheme="minorHAnsi" w:cstheme="minorHAnsi"/>
          <w:szCs w:val="24"/>
        </w:rPr>
      </w:pPr>
      <w:r w:rsidRPr="007869C7">
        <w:rPr>
          <w:rFonts w:asciiTheme="minorHAnsi" w:hAnsiTheme="minorHAnsi" w:cstheme="minorHAnsi"/>
          <w:szCs w:val="24"/>
        </w:rPr>
        <w:t xml:space="preserve">United States Food &amp; Drug Administration (FDA).  Pooled Sample Testing and Screening Testing for  COVID-19:  </w:t>
      </w:r>
      <w:hyperlink w:history="1" r:id="rId24">
        <w:r w:rsidRPr="007869C7">
          <w:rPr>
            <w:rStyle w:val="Hyperlink"/>
            <w:rFonts w:asciiTheme="minorHAnsi" w:hAnsiTheme="minorHAnsi" w:cstheme="minorHAnsi"/>
            <w:szCs w:val="24"/>
          </w:rPr>
          <w:t>https://www.fda.gov/medical-devices/coronavirus-covid-19-and-medical-devices/pooled-sample-testing-and-screening-testing-covid-19</w:t>
        </w:r>
      </w:hyperlink>
      <w:r w:rsidRPr="007869C7">
        <w:rPr>
          <w:rFonts w:asciiTheme="minorHAnsi" w:hAnsiTheme="minorHAnsi" w:cstheme="minorHAnsi"/>
          <w:szCs w:val="24"/>
        </w:rPr>
        <w:t xml:space="preserve"> </w:t>
      </w:r>
    </w:p>
    <w:p w:rsidRPr="007869C7" w:rsidR="00945B7E" w:rsidP="00945B7E" w:rsidRDefault="00945B7E" w14:paraId="1E100FF8" w14:textId="77777777">
      <w:pPr>
        <w:rPr>
          <w:rFonts w:ascii="Calibri" w:hAnsi="Calibri" w:cs="Calibri"/>
          <w:szCs w:val="24"/>
        </w:rPr>
      </w:pPr>
    </w:p>
    <w:p w:rsidRPr="007869C7" w:rsidR="00945B7E" w:rsidP="00945B7E" w:rsidRDefault="00945B7E" w14:paraId="69416FBD" w14:textId="77777777">
      <w:pPr>
        <w:rPr>
          <w:rFonts w:ascii="Calibri" w:hAnsi="Calibri" w:cs="Calibri"/>
          <w:szCs w:val="24"/>
        </w:rPr>
      </w:pPr>
    </w:p>
    <w:p w:rsidRPr="007869C7" w:rsidR="004613FA" w:rsidP="00945B7E" w:rsidRDefault="004613FA" w14:paraId="0146ECB5" w14:textId="07BE32CE">
      <w:pPr>
        <w:spacing w:after="160" w:line="259" w:lineRule="auto"/>
        <w:rPr>
          <w:rFonts w:ascii="Calibri" w:hAnsi="Calibri"/>
          <w:b/>
          <w:szCs w:val="24"/>
        </w:rPr>
      </w:pPr>
    </w:p>
    <w:sectPr w:rsidRPr="007869C7" w:rsidR="004613FA" w:rsidSect="00DE7AF9">
      <w:headerReference w:type="default" r:id="rId25"/>
      <w:footerReference w:type="default" r:id="rId26"/>
      <w:headerReference w:type="first" r:id="rId27"/>
      <w:pgSz w:w="12240" w:h="15840" w:orient="portrait"/>
      <w:pgMar w:top="2160" w:right="1440" w:bottom="1440" w:left="1440" w:header="720" w:footer="720" w:gutter="0"/>
      <w:cols w:space="72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513D7" w:rsidP="00FE158D" w:rsidRDefault="009513D7" w14:paraId="293274DB" w14:textId="77777777">
      <w:r>
        <w:separator/>
      </w:r>
    </w:p>
  </w:endnote>
  <w:endnote w:type="continuationSeparator" w:id="0">
    <w:p w:rsidR="009513D7" w:rsidP="00FE158D" w:rsidRDefault="009513D7" w14:paraId="666D4CB1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B2ED2" w:rsidP="00FE158D" w:rsidRDefault="00FE158D" w14:paraId="0A03943E" w14:textId="77777777">
    <w:pPr>
      <w:pStyle w:val="Footer"/>
    </w:pPr>
    <w:r>
      <w:t xml:space="preserve">                                                                                                            </w:t>
    </w:r>
  </w:p>
  <w:p w:rsidR="00FE158D" w:rsidP="00FE158D" w:rsidRDefault="00FE158D" w14:paraId="465AD541" w14:textId="77777777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 xml:space="preserve">This document is for general informational purposes only.  </w:t>
    </w:r>
  </w:p>
  <w:p w:rsidR="00185739" w:rsidP="00185739" w:rsidRDefault="00FE158D" w14:paraId="25B40A70" w14:textId="77777777">
    <w:pPr>
      <w:pStyle w:val="Footer"/>
      <w:jc w:val="center"/>
      <w:rPr>
        <w:rFonts w:asciiTheme="minorHAnsi" w:hAnsiTheme="minorHAnsi"/>
        <w:sz w:val="16"/>
        <w:szCs w:val="16"/>
      </w:rPr>
    </w:pPr>
    <w:r w:rsidRPr="00FE158D">
      <w:rPr>
        <w:rFonts w:asciiTheme="minorHAnsi" w:hAnsiTheme="minorHAnsi"/>
        <w:sz w:val="16"/>
        <w:szCs w:val="16"/>
      </w:rPr>
      <w:t>It does not represent legal advice nor relied upon as supporting d</w:t>
    </w:r>
    <w:r>
      <w:rPr>
        <w:rFonts w:asciiTheme="minorHAnsi" w:hAnsiTheme="minorHAnsi"/>
        <w:sz w:val="16"/>
        <w:szCs w:val="16"/>
      </w:rPr>
      <w:t>ocumentation or advice with CMS or ot</w:t>
    </w:r>
    <w:r w:rsidR="006B2ED2">
      <w:rPr>
        <w:rFonts w:asciiTheme="minorHAnsi" w:hAnsiTheme="minorHAnsi"/>
        <w:sz w:val="16"/>
        <w:szCs w:val="16"/>
      </w:rPr>
      <w:t>her regulatory entities.</w:t>
    </w:r>
  </w:p>
  <w:p w:rsidRPr="00185739" w:rsidR="00185739" w:rsidP="00185739" w:rsidRDefault="00185739" w14:paraId="07012CC7" w14:textId="1A191F4E">
    <w:pPr>
      <w:pStyle w:val="Footer"/>
      <w:jc w:val="center"/>
      <w:rPr>
        <w:rFonts w:asciiTheme="minorHAnsi" w:hAnsiTheme="minorHAnsi"/>
        <w:sz w:val="16"/>
        <w:szCs w:val="16"/>
      </w:rPr>
    </w:pPr>
    <w:r w:rsidRPr="00185739">
      <w:rPr>
        <w:rFonts w:ascii="Calibri" w:hAnsi="Calibri" w:eastAsia="Calibri"/>
        <w:sz w:val="16"/>
        <w:szCs w:val="16"/>
      </w:rPr>
      <w:t>© Pathway Health Services, Inc. – All Rights Reserved – Copy with Permission Only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513D7" w:rsidP="00FE158D" w:rsidRDefault="009513D7" w14:paraId="63F1B5C2" w14:textId="77777777">
      <w:r>
        <w:separator/>
      </w:r>
    </w:p>
  </w:footnote>
  <w:footnote w:type="continuationSeparator" w:id="0">
    <w:p w:rsidR="009513D7" w:rsidP="00FE158D" w:rsidRDefault="009513D7" w14:paraId="2D1F1BE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B2ED2" w:rsidRDefault="006B2ED2" w14:paraId="4FADE13E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0" wp14:anchorId="7BFF9083" wp14:editId="1657E25C">
          <wp:simplePos x="0" y="0"/>
          <wp:positionH relativeFrom="column">
            <wp:posOffset>-914400</wp:posOffset>
          </wp:positionH>
          <wp:positionV relativeFrom="page">
            <wp:posOffset>-243840</wp:posOffset>
          </wp:positionV>
          <wp:extent cx="7772400" cy="100584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athway Health 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DE7AF9" w:rsidP="00DE7AF9" w:rsidRDefault="00301AA8" w14:paraId="7BF2E687" w14:textId="77777777">
    <w:pPr>
      <w:pStyle w:val="Header"/>
      <w:tabs>
        <w:tab w:val="clear" w:pos="4680"/>
        <w:tab w:val="clear" w:pos="9360"/>
        <w:tab w:val="left" w:pos="6930"/>
      </w:tabs>
    </w:pPr>
    <w:r>
      <w:rPr>
        <w:noProof/>
      </w:rPr>
      <w:drawing>
        <wp:anchor distT="0" distB="0" distL="114300" distR="114300" simplePos="0" relativeHeight="251659264" behindDoc="1" locked="1" layoutInCell="1" allowOverlap="1" wp14:anchorId="4493A522" wp14:editId="6F32EEA7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772400" cy="100584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thway Health cover pa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E7AF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8844DA"/>
    <w:multiLevelType w:val="hybridMultilevel"/>
    <w:tmpl w:val="224E68F0"/>
    <w:lvl w:ilvl="0" w:tplc="3D7ACAA8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35567A"/>
    <w:multiLevelType w:val="hybridMultilevel"/>
    <w:tmpl w:val="78BAD9D8"/>
    <w:lvl w:ilvl="0" w:tplc="0409001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5A33BA6"/>
    <w:multiLevelType w:val="hybridMultilevel"/>
    <w:tmpl w:val="4754ADCE"/>
    <w:lvl w:ilvl="0" w:tplc="04090001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</w:lvl>
    <w:lvl w:ilvl="1" w:tplc="04090003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 w15:restartNumberingAfterBreak="0">
    <w:nsid w:val="182E5138"/>
    <w:multiLevelType w:val="multilevel"/>
    <w:tmpl w:val="8F60C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896B19"/>
    <w:multiLevelType w:val="hybridMultilevel"/>
    <w:tmpl w:val="CB7AA78E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1CB21BF4"/>
    <w:multiLevelType w:val="hybridMultilevel"/>
    <w:tmpl w:val="F0A0B12C"/>
    <w:lvl w:ilvl="0" w:tplc="FFFFFFFF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lowerRoman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D406A2F"/>
    <w:multiLevelType w:val="hybridMultilevel"/>
    <w:tmpl w:val="D6AC048E"/>
    <w:lvl w:ilvl="0" w:tplc="85A69BB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129AEA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334325"/>
    <w:multiLevelType w:val="hybridMultilevel"/>
    <w:tmpl w:val="2BC0B456"/>
    <w:lvl w:ilvl="0" w:tplc="04090005">
      <w:start w:val="1"/>
      <w:numFmt w:val="bullet"/>
      <w:lvlText w:val=""/>
      <w:lvlJc w:val="left"/>
      <w:pPr>
        <w:ind w:left="126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9" w15:restartNumberingAfterBreak="0">
    <w:nsid w:val="1FBB7817"/>
    <w:multiLevelType w:val="hybridMultilevel"/>
    <w:tmpl w:val="83002C4A"/>
    <w:lvl w:ilvl="0" w:tplc="82382E76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0AA43EC"/>
    <w:multiLevelType w:val="hybridMultilevel"/>
    <w:tmpl w:val="0B00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1" w15:restartNumberingAfterBreak="0">
    <w:nsid w:val="2455159A"/>
    <w:multiLevelType w:val="hybridMultilevel"/>
    <w:tmpl w:val="7C14802E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24E7774D"/>
    <w:multiLevelType w:val="hybridMultilevel"/>
    <w:tmpl w:val="15CCA8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6B35A43"/>
    <w:multiLevelType w:val="multilevel"/>
    <w:tmpl w:val="181E99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9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C4209C9"/>
    <w:multiLevelType w:val="hybridMultilevel"/>
    <w:tmpl w:val="8D989E5E"/>
    <w:lvl w:ilvl="0" w:tplc="00BC96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09000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  <w:b/>
      </w:r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2EBE622C"/>
    <w:multiLevelType w:val="hybridMultilevel"/>
    <w:tmpl w:val="59300172"/>
    <w:lvl w:ilvl="0" w:tplc="7E46DFDE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09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30833DCA"/>
    <w:multiLevelType w:val="hybridMultilevel"/>
    <w:tmpl w:val="5F24828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2F77AD6"/>
    <w:multiLevelType w:val="hybridMultilevel"/>
    <w:tmpl w:val="47A4BE54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F5EA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9" w15:restartNumberingAfterBreak="0">
    <w:nsid w:val="360B14E4"/>
    <w:multiLevelType w:val="hybridMultilevel"/>
    <w:tmpl w:val="07443C60"/>
    <w:lvl w:ilvl="0" w:tplc="8EE8C3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 w:ascii="Calibri" w:hAnsi="Calibri" w:eastAsia="Times New Roman" w:cs="Arial"/>
        <w:b w:val="0"/>
        <w:sz w:val="24"/>
      </w:rPr>
    </w:lvl>
    <w:lvl w:ilvl="1" w:tplc="0409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05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03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0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03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05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7306055"/>
    <w:multiLevelType w:val="hybridMultilevel"/>
    <w:tmpl w:val="A782A3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304BD9"/>
    <w:multiLevelType w:val="hybridMultilevel"/>
    <w:tmpl w:val="DFBE0ADE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2" w15:restartNumberingAfterBreak="0">
    <w:nsid w:val="38E32984"/>
    <w:multiLevelType w:val="hybridMultilevel"/>
    <w:tmpl w:val="D1DEDC10"/>
    <w:lvl w:ilvl="0" w:tplc="04090003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447E587C"/>
    <w:multiLevelType w:val="hybridMultilevel"/>
    <w:tmpl w:val="8E667980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5936D5"/>
    <w:multiLevelType w:val="hybridMultilevel"/>
    <w:tmpl w:val="506A82B2"/>
    <w:lvl w:ilvl="0" w:tplc="04090015">
      <w:start w:val="6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511694"/>
    <w:multiLevelType w:val="hybridMultilevel"/>
    <w:tmpl w:val="AE9C2316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4E8C29B7"/>
    <w:multiLevelType w:val="hybridMultilevel"/>
    <w:tmpl w:val="19169EBE"/>
    <w:lvl w:ilvl="0" w:tplc="B63A5BD6">
      <w:start w:val="1"/>
      <w:numFmt w:val="lowerRoman"/>
      <w:lvlText w:val="%1."/>
      <w:lvlJc w:val="right"/>
      <w:pPr>
        <w:tabs>
          <w:tab w:val="num" w:pos="1440"/>
        </w:tabs>
        <w:ind w:left="1440" w:hanging="360"/>
      </w:pPr>
      <w:rPr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514039DF"/>
    <w:multiLevelType w:val="hybridMultilevel"/>
    <w:tmpl w:val="A730623E"/>
    <w:lvl w:ilvl="0" w:tplc="04090005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28" w15:restartNumberingAfterBreak="0">
    <w:nsid w:val="53036054"/>
    <w:multiLevelType w:val="hybridMultilevel"/>
    <w:tmpl w:val="9A3202B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9" w15:restartNumberingAfterBreak="0">
    <w:nsid w:val="56054C44"/>
    <w:multiLevelType w:val="hybridMultilevel"/>
    <w:tmpl w:val="434E6A10"/>
    <w:lvl w:ilvl="0" w:tplc="FFFFFFFF">
      <w:start w:val="1"/>
      <w:numFmt w:val="lowerRoman"/>
      <w:lvlText w:val="%1."/>
      <w:lvlJc w:val="left"/>
      <w:pPr>
        <w:tabs>
          <w:tab w:val="num" w:pos="1080"/>
        </w:tabs>
        <w:ind w:left="1080" w:hanging="360"/>
      </w:pPr>
      <w:rPr>
        <w:rFonts w:ascii="Arial" w:hAnsi="Arial" w:eastAsia="Times New Roman" w:cs="Arial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hint="default"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hint="default" w:ascii="Wingdings" w:hAnsi="Wingdings"/>
      </w:r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hint="default"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hint="default" w:ascii="Wingdings" w:hAnsi="Wingdings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hint="default"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hint="default" w:ascii="Wingdings" w:hAnsi="Wingdings"/>
      </w:rPr>
    </w:lvl>
  </w:abstractNum>
  <w:abstractNum w:abstractNumId="30" w15:restartNumberingAfterBreak="0">
    <w:nsid w:val="56136998"/>
    <w:multiLevelType w:val="hybridMultilevel"/>
    <w:tmpl w:val="3350F65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599C78D2"/>
    <w:multiLevelType w:val="hybridMultilevel"/>
    <w:tmpl w:val="DF1E3A8A"/>
    <w:lvl w:ilvl="0" w:tplc="4B72A5D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35F0D"/>
    <w:multiLevelType w:val="hybridMultilevel"/>
    <w:tmpl w:val="7930C750"/>
    <w:lvl w:ilvl="0" w:tplc="1F60F54A">
      <w:start w:val="5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696E85"/>
    <w:multiLevelType w:val="hybridMultilevel"/>
    <w:tmpl w:val="6D3C07A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64AD12BD"/>
    <w:multiLevelType w:val="hybridMultilevel"/>
    <w:tmpl w:val="2A44BF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A10614"/>
    <w:multiLevelType w:val="hybridMultilevel"/>
    <w:tmpl w:val="855ECF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1F4D74"/>
    <w:multiLevelType w:val="hybridMultilevel"/>
    <w:tmpl w:val="3BB4FB6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979211F"/>
    <w:multiLevelType w:val="hybridMultilevel"/>
    <w:tmpl w:val="4DE49C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EF87CD8"/>
    <w:multiLevelType w:val="hybridMultilevel"/>
    <w:tmpl w:val="8638867C"/>
    <w:lvl w:ilvl="0" w:tplc="04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hint="default" w:ascii="Wingdings" w:hAnsi="Wingdings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6FA26C5D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0" w15:restartNumberingAfterBreak="0">
    <w:nsid w:val="719C2B3A"/>
    <w:multiLevelType w:val="hybridMultilevel"/>
    <w:tmpl w:val="A1FCC3B2"/>
    <w:lvl w:ilvl="0" w:tplc="C71281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625F1B"/>
    <w:multiLevelType w:val="multilevel"/>
    <w:tmpl w:val="9DD8E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2" w15:restartNumberingAfterBreak="0">
    <w:nsid w:val="74C86526"/>
    <w:multiLevelType w:val="hybridMultilevel"/>
    <w:tmpl w:val="7ADA7668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76672C2E"/>
    <w:multiLevelType w:val="hybridMultilevel"/>
    <w:tmpl w:val="21566492"/>
    <w:lvl w:ilvl="0" w:tplc="04090019">
      <w:start w:val="1"/>
      <w:numFmt w:val="lowerLetter"/>
      <w:lvlText w:val="%1."/>
      <w:lvlJc w:val="left"/>
      <w:pPr>
        <w:ind w:left="960" w:hanging="360"/>
      </w:pPr>
    </w:lvl>
    <w:lvl w:ilvl="1" w:tplc="04090019">
      <w:start w:val="1"/>
      <w:numFmt w:val="lowerLetter"/>
      <w:lvlText w:val="%2."/>
      <w:lvlJc w:val="left"/>
      <w:pPr>
        <w:ind w:left="1680" w:hanging="360"/>
      </w:pPr>
    </w:lvl>
    <w:lvl w:ilvl="2" w:tplc="0409001B">
      <w:start w:val="1"/>
      <w:numFmt w:val="lowerRoman"/>
      <w:lvlText w:val="%3."/>
      <w:lvlJc w:val="right"/>
      <w:pPr>
        <w:ind w:left="2400" w:hanging="180"/>
      </w:pPr>
    </w:lvl>
    <w:lvl w:ilvl="3" w:tplc="0409000F">
      <w:start w:val="1"/>
      <w:numFmt w:val="decimal"/>
      <w:lvlText w:val="%4."/>
      <w:lvlJc w:val="left"/>
      <w:pPr>
        <w:ind w:left="3120" w:hanging="360"/>
      </w:pPr>
    </w:lvl>
    <w:lvl w:ilvl="4" w:tplc="04090019">
      <w:start w:val="1"/>
      <w:numFmt w:val="lowerLetter"/>
      <w:lvlText w:val="%5."/>
      <w:lvlJc w:val="left"/>
      <w:pPr>
        <w:ind w:left="3840" w:hanging="360"/>
      </w:pPr>
    </w:lvl>
    <w:lvl w:ilvl="5" w:tplc="0409001B">
      <w:start w:val="1"/>
      <w:numFmt w:val="lowerRoman"/>
      <w:lvlText w:val="%6."/>
      <w:lvlJc w:val="right"/>
      <w:pPr>
        <w:ind w:left="4560" w:hanging="180"/>
      </w:pPr>
    </w:lvl>
    <w:lvl w:ilvl="6" w:tplc="0409000F">
      <w:start w:val="1"/>
      <w:numFmt w:val="decimal"/>
      <w:lvlText w:val="%7."/>
      <w:lvlJc w:val="left"/>
      <w:pPr>
        <w:ind w:left="5280" w:hanging="360"/>
      </w:pPr>
    </w:lvl>
    <w:lvl w:ilvl="7" w:tplc="04090019">
      <w:start w:val="1"/>
      <w:numFmt w:val="lowerLetter"/>
      <w:lvlText w:val="%8."/>
      <w:lvlJc w:val="left"/>
      <w:pPr>
        <w:ind w:left="6000" w:hanging="360"/>
      </w:pPr>
    </w:lvl>
    <w:lvl w:ilvl="8" w:tplc="0409001B">
      <w:start w:val="1"/>
      <w:numFmt w:val="lowerRoman"/>
      <w:lvlText w:val="%9."/>
      <w:lvlJc w:val="right"/>
      <w:pPr>
        <w:ind w:left="6720" w:hanging="180"/>
      </w:pPr>
    </w:lvl>
  </w:abstractNum>
  <w:abstractNum w:abstractNumId="44" w15:restartNumberingAfterBreak="0">
    <w:nsid w:val="7AC356EA"/>
    <w:multiLevelType w:val="hybridMultilevel"/>
    <w:tmpl w:val="1F4E5D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582413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822974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2275790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54362449">
    <w:abstractNumId w:val="2"/>
  </w:num>
  <w:num w:numId="5" w16cid:durableId="131147335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516411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53437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876783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4872174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51415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41466471">
    <w:abstractNumId w:val="3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4978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0704593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96878180">
    <w:abstractNumId w:val="13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556939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8795127">
    <w:abstractNumId w:val="15"/>
  </w:num>
  <w:num w:numId="17" w16cid:durableId="141851542">
    <w:abstractNumId w:val="4"/>
    <w:lvlOverride w:ilvl="0">
      <w:startOverride w:val="1"/>
    </w:lvlOverride>
    <w:lvlOverride w:ilvl="1">
      <w:startOverride w:val="1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8377552">
    <w:abstractNumId w:val="29"/>
    <w:lvlOverride w:ilvl="0">
      <w:startOverride w:val="1"/>
    </w:lvlOverride>
    <w:lvlOverride w:ilvl="1"/>
    <w:lvlOverride w:ilvl="2"/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 w16cid:durableId="12113799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49241088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3199222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5433242">
    <w:abstractNumId w:val="24"/>
  </w:num>
  <w:num w:numId="23" w16cid:durableId="1421875448">
    <w:abstractNumId w:val="35"/>
  </w:num>
  <w:num w:numId="24" w16cid:durableId="231937797">
    <w:abstractNumId w:val="11"/>
  </w:num>
  <w:num w:numId="25" w16cid:durableId="1993750140">
    <w:abstractNumId w:val="21"/>
  </w:num>
  <w:num w:numId="26" w16cid:durableId="870723835">
    <w:abstractNumId w:val="16"/>
  </w:num>
  <w:num w:numId="27" w16cid:durableId="1084648761">
    <w:abstractNumId w:val="23"/>
  </w:num>
  <w:num w:numId="28" w16cid:durableId="976647188">
    <w:abstractNumId w:val="8"/>
  </w:num>
  <w:num w:numId="29" w16cid:durableId="1282229515">
    <w:abstractNumId w:val="27"/>
  </w:num>
  <w:num w:numId="30" w16cid:durableId="997806160">
    <w:abstractNumId w:val="25"/>
  </w:num>
  <w:num w:numId="31" w16cid:durableId="950432583">
    <w:abstractNumId w:val="38"/>
  </w:num>
  <w:num w:numId="32" w16cid:durableId="916282208">
    <w:abstractNumId w:val="18"/>
  </w:num>
  <w:num w:numId="33" w16cid:durableId="861279820">
    <w:abstractNumId w:val="39"/>
  </w:num>
  <w:num w:numId="34" w16cid:durableId="763186864">
    <w:abstractNumId w:val="44"/>
  </w:num>
  <w:num w:numId="35" w16cid:durableId="656956953">
    <w:abstractNumId w:val="30"/>
  </w:num>
  <w:num w:numId="36" w16cid:durableId="165940985">
    <w:abstractNumId w:val="42"/>
  </w:num>
  <w:num w:numId="37" w16cid:durableId="2115054790">
    <w:abstractNumId w:val="12"/>
  </w:num>
  <w:num w:numId="38" w16cid:durableId="39632398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517647572">
    <w:abstractNumId w:val="5"/>
  </w:num>
  <w:num w:numId="40" w16cid:durableId="1713731947">
    <w:abstractNumId w:val="22"/>
  </w:num>
  <w:num w:numId="41" w16cid:durableId="2082677945">
    <w:abstractNumId w:val="3"/>
  </w:num>
  <w:num w:numId="42" w16cid:durableId="949167819">
    <w:abstractNumId w:val="1"/>
  </w:num>
  <w:num w:numId="43" w16cid:durableId="1941982116">
    <w:abstractNumId w:val="28"/>
  </w:num>
  <w:num w:numId="44" w16cid:durableId="1236472000">
    <w:abstractNumId w:val="33"/>
  </w:num>
  <w:num w:numId="45" w16cid:durableId="1517423933">
    <w:abstractNumId w:val="10"/>
  </w:num>
  <w:num w:numId="46" w16cid:durableId="1770739184">
    <w:abstractNumId w:val="41"/>
  </w:num>
  <w:numIdMacAtCleanup w:val="31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8B1"/>
    <w:rsid w:val="00023790"/>
    <w:rsid w:val="00066D50"/>
    <w:rsid w:val="0008383E"/>
    <w:rsid w:val="000B0803"/>
    <w:rsid w:val="000B4DB3"/>
    <w:rsid w:val="000D380A"/>
    <w:rsid w:val="000D5B62"/>
    <w:rsid w:val="000E228A"/>
    <w:rsid w:val="000F7E90"/>
    <w:rsid w:val="00101141"/>
    <w:rsid w:val="00102A96"/>
    <w:rsid w:val="00107BCF"/>
    <w:rsid w:val="001139B8"/>
    <w:rsid w:val="001221F3"/>
    <w:rsid w:val="0012309D"/>
    <w:rsid w:val="00144BE0"/>
    <w:rsid w:val="00170AD2"/>
    <w:rsid w:val="00185739"/>
    <w:rsid w:val="0019504D"/>
    <w:rsid w:val="00231375"/>
    <w:rsid w:val="00234C60"/>
    <w:rsid w:val="002376A2"/>
    <w:rsid w:val="0029611C"/>
    <w:rsid w:val="002A5884"/>
    <w:rsid w:val="002B7CFC"/>
    <w:rsid w:val="002C5F29"/>
    <w:rsid w:val="002D68EE"/>
    <w:rsid w:val="002F2B8A"/>
    <w:rsid w:val="003011C7"/>
    <w:rsid w:val="00301477"/>
    <w:rsid w:val="00301AA8"/>
    <w:rsid w:val="0031633A"/>
    <w:rsid w:val="00317996"/>
    <w:rsid w:val="0033490A"/>
    <w:rsid w:val="0034795D"/>
    <w:rsid w:val="00372DF7"/>
    <w:rsid w:val="003734C7"/>
    <w:rsid w:val="00373CF0"/>
    <w:rsid w:val="003A280F"/>
    <w:rsid w:val="003A3E8D"/>
    <w:rsid w:val="003B0939"/>
    <w:rsid w:val="003F0C77"/>
    <w:rsid w:val="00402197"/>
    <w:rsid w:val="00416F96"/>
    <w:rsid w:val="00445D7B"/>
    <w:rsid w:val="004613FA"/>
    <w:rsid w:val="00484844"/>
    <w:rsid w:val="004972C3"/>
    <w:rsid w:val="0052654A"/>
    <w:rsid w:val="00534CAA"/>
    <w:rsid w:val="0053732B"/>
    <w:rsid w:val="005438CB"/>
    <w:rsid w:val="00545D9B"/>
    <w:rsid w:val="005817E5"/>
    <w:rsid w:val="00590368"/>
    <w:rsid w:val="005915DF"/>
    <w:rsid w:val="00593E4B"/>
    <w:rsid w:val="005C7713"/>
    <w:rsid w:val="005F036A"/>
    <w:rsid w:val="005F5E7B"/>
    <w:rsid w:val="005F5F76"/>
    <w:rsid w:val="006034EC"/>
    <w:rsid w:val="00603AC0"/>
    <w:rsid w:val="00605605"/>
    <w:rsid w:val="00610027"/>
    <w:rsid w:val="006338B1"/>
    <w:rsid w:val="0066706B"/>
    <w:rsid w:val="00667E8B"/>
    <w:rsid w:val="006A3CC2"/>
    <w:rsid w:val="006B2ED2"/>
    <w:rsid w:val="006C7A0C"/>
    <w:rsid w:val="007054DD"/>
    <w:rsid w:val="00715D1E"/>
    <w:rsid w:val="007251EF"/>
    <w:rsid w:val="00746482"/>
    <w:rsid w:val="00757C62"/>
    <w:rsid w:val="00783084"/>
    <w:rsid w:val="007869C7"/>
    <w:rsid w:val="007921AF"/>
    <w:rsid w:val="007A61F1"/>
    <w:rsid w:val="007F26C3"/>
    <w:rsid w:val="007F4486"/>
    <w:rsid w:val="00805910"/>
    <w:rsid w:val="008259FB"/>
    <w:rsid w:val="00830EB2"/>
    <w:rsid w:val="0087521D"/>
    <w:rsid w:val="00883AD3"/>
    <w:rsid w:val="00891765"/>
    <w:rsid w:val="008C5D8C"/>
    <w:rsid w:val="008E7224"/>
    <w:rsid w:val="008F1ABA"/>
    <w:rsid w:val="009032B9"/>
    <w:rsid w:val="009073EC"/>
    <w:rsid w:val="00945B7E"/>
    <w:rsid w:val="009478FB"/>
    <w:rsid w:val="009513D7"/>
    <w:rsid w:val="00951B77"/>
    <w:rsid w:val="0096755B"/>
    <w:rsid w:val="009854C3"/>
    <w:rsid w:val="009A6BEE"/>
    <w:rsid w:val="009B7479"/>
    <w:rsid w:val="009C106D"/>
    <w:rsid w:val="009C357E"/>
    <w:rsid w:val="009C583E"/>
    <w:rsid w:val="009E6EC7"/>
    <w:rsid w:val="009F0488"/>
    <w:rsid w:val="00A039B0"/>
    <w:rsid w:val="00A23AE0"/>
    <w:rsid w:val="00A25232"/>
    <w:rsid w:val="00A60BDA"/>
    <w:rsid w:val="00A665C0"/>
    <w:rsid w:val="00A723F9"/>
    <w:rsid w:val="00A8152C"/>
    <w:rsid w:val="00A86993"/>
    <w:rsid w:val="00A9460A"/>
    <w:rsid w:val="00AA14E0"/>
    <w:rsid w:val="00AA7C93"/>
    <w:rsid w:val="00AB677E"/>
    <w:rsid w:val="00AC0FC3"/>
    <w:rsid w:val="00B019EA"/>
    <w:rsid w:val="00B2096E"/>
    <w:rsid w:val="00B24FB4"/>
    <w:rsid w:val="00BB507F"/>
    <w:rsid w:val="00BC6169"/>
    <w:rsid w:val="00BC79D8"/>
    <w:rsid w:val="00BD62D6"/>
    <w:rsid w:val="00C0102E"/>
    <w:rsid w:val="00C06FD6"/>
    <w:rsid w:val="00C170A5"/>
    <w:rsid w:val="00C450B5"/>
    <w:rsid w:val="00C47D16"/>
    <w:rsid w:val="00C54FD0"/>
    <w:rsid w:val="00C71D53"/>
    <w:rsid w:val="00C82867"/>
    <w:rsid w:val="00CC2821"/>
    <w:rsid w:val="00CE4291"/>
    <w:rsid w:val="00CE786A"/>
    <w:rsid w:val="00D2277C"/>
    <w:rsid w:val="00DB6D68"/>
    <w:rsid w:val="00DB7A52"/>
    <w:rsid w:val="00DC40AB"/>
    <w:rsid w:val="00DE484B"/>
    <w:rsid w:val="00DE7AF9"/>
    <w:rsid w:val="00E10399"/>
    <w:rsid w:val="00E42F64"/>
    <w:rsid w:val="00E4366C"/>
    <w:rsid w:val="00E57F57"/>
    <w:rsid w:val="00E66BB5"/>
    <w:rsid w:val="00E814A1"/>
    <w:rsid w:val="00E91A4F"/>
    <w:rsid w:val="00E94EC6"/>
    <w:rsid w:val="00ED6153"/>
    <w:rsid w:val="00EE0E87"/>
    <w:rsid w:val="00EF059B"/>
    <w:rsid w:val="00EF0A00"/>
    <w:rsid w:val="00F508E1"/>
    <w:rsid w:val="00F5332B"/>
    <w:rsid w:val="00FA1651"/>
    <w:rsid w:val="00FA2473"/>
    <w:rsid w:val="00FB157C"/>
    <w:rsid w:val="00FC03F0"/>
    <w:rsid w:val="00FD69F0"/>
    <w:rsid w:val="00FE158D"/>
    <w:rsid w:val="05664981"/>
    <w:rsid w:val="06E24367"/>
    <w:rsid w:val="070C3482"/>
    <w:rsid w:val="092CCF54"/>
    <w:rsid w:val="0C1B206E"/>
    <w:rsid w:val="0DF6FD08"/>
    <w:rsid w:val="12D3B19A"/>
    <w:rsid w:val="13C7748D"/>
    <w:rsid w:val="188FDA31"/>
    <w:rsid w:val="18C19A62"/>
    <w:rsid w:val="18CFD37C"/>
    <w:rsid w:val="1A548106"/>
    <w:rsid w:val="1E58F635"/>
    <w:rsid w:val="1F0A2734"/>
    <w:rsid w:val="1F8963A2"/>
    <w:rsid w:val="200C0705"/>
    <w:rsid w:val="2155F289"/>
    <w:rsid w:val="2249B57C"/>
    <w:rsid w:val="2279F0E6"/>
    <w:rsid w:val="2511C566"/>
    <w:rsid w:val="283DF40B"/>
    <w:rsid w:val="28B508F3"/>
    <w:rsid w:val="294FC997"/>
    <w:rsid w:val="30C408E5"/>
    <w:rsid w:val="387C2CFD"/>
    <w:rsid w:val="3CE15622"/>
    <w:rsid w:val="3D896390"/>
    <w:rsid w:val="4198F8FE"/>
    <w:rsid w:val="43E76A3D"/>
    <w:rsid w:val="47D6D815"/>
    <w:rsid w:val="48E4ADD7"/>
    <w:rsid w:val="4E7A21F0"/>
    <w:rsid w:val="4E8AA28A"/>
    <w:rsid w:val="5162EF34"/>
    <w:rsid w:val="539B2273"/>
    <w:rsid w:val="55FD8BBF"/>
    <w:rsid w:val="57EAB1B5"/>
    <w:rsid w:val="59C4C21D"/>
    <w:rsid w:val="5D48E3D5"/>
    <w:rsid w:val="5D501433"/>
    <w:rsid w:val="5DCD15F7"/>
    <w:rsid w:val="5E7F0AE3"/>
    <w:rsid w:val="603403A1"/>
    <w:rsid w:val="63527C06"/>
    <w:rsid w:val="65E8AE12"/>
    <w:rsid w:val="6635C82B"/>
    <w:rsid w:val="67C7D712"/>
    <w:rsid w:val="689EE3AF"/>
    <w:rsid w:val="7082E3EB"/>
    <w:rsid w:val="71CCCF6F"/>
    <w:rsid w:val="7461015A"/>
    <w:rsid w:val="76A82E18"/>
    <w:rsid w:val="7916AB89"/>
    <w:rsid w:val="7F754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D8E286"/>
  <w15:docId w15:val="{F57BEA30-5D65-4EC0-817E-074BE7A1F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338B1"/>
    <w:pPr>
      <w:spacing w:after="0" w:line="240" w:lineRule="auto"/>
    </w:pPr>
    <w:rPr>
      <w:rFonts w:ascii="Times New Roman" w:hAnsi="Times New Roman" w:eastAsia="Times New Roman" w:cs="Times New Roman"/>
      <w:sz w:val="24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6338B1"/>
    <w:rPr>
      <w:sz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6338B1"/>
    <w:rPr>
      <w:rFonts w:ascii="Times New Roman" w:hAnsi="Times New Roman" w:eastAsia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6338B1"/>
    <w:pPr>
      <w:ind w:left="720"/>
    </w:pPr>
  </w:style>
  <w:style w:type="paragraph" w:styleId="Default" w:customStyle="1">
    <w:name w:val="Default"/>
    <w:rsid w:val="006338B1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6338B1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38B1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338B1"/>
    <w:rPr>
      <w:rFonts w:ascii="Segoe UI" w:hAnsi="Segoe UI" w:eastAsia="Times New Roman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B157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E158D"/>
    <w:rPr>
      <w:rFonts w:ascii="Times New Roman" w:hAnsi="Times New Roman" w:eastAsia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FE158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E158D"/>
    <w:rPr>
      <w:rFonts w:ascii="Times New Roman" w:hAnsi="Times New Roman" w:eastAsia="Times New Roman" w:cs="Times New Roman"/>
      <w:sz w:val="24"/>
      <w:szCs w:val="20"/>
    </w:rPr>
  </w:style>
  <w:style w:type="paragraph" w:styleId="NoSpacing">
    <w:name w:val="No Spacing"/>
    <w:uiPriority w:val="1"/>
    <w:qFormat/>
    <w:rsid w:val="00DB7A52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BC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107BCF"/>
    <w:rPr>
      <w:rFonts w:ascii="Times New Roman" w:hAnsi="Times New Roman" w:eastAsia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07BC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450B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9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cms.gov/files/document/qso-20-38-nh-revised.pdf" TargetMode="External" Id="rId13" /><Relationship Type="http://schemas.openxmlformats.org/officeDocument/2006/relationships/hyperlink" Target="https://www.cms.gov/Medicare/Provider-Enrollment-and-Certification/GuidanceforLawsAndRegulations/Nursing-Homes" TargetMode="External" Id="rId18" /><Relationship Type="http://schemas.openxmlformats.org/officeDocument/2006/relationships/footer" Target="footer1.xml" Id="rId26" /><Relationship Type="http://schemas.openxmlformats.org/officeDocument/2006/relationships/styles" Target="styles.xml" Id="rId3" /><Relationship Type="http://schemas.openxmlformats.org/officeDocument/2006/relationships/hyperlink" Target="https://www.cdc.gov/coronavirus/2019-ncov/symptoms-testing/testing.html" TargetMode="External" Id="rId21" /><Relationship Type="http://schemas.openxmlformats.org/officeDocument/2006/relationships/endnotes" Target="endnotes.xml" Id="rId7" /><Relationship Type="http://schemas.openxmlformats.org/officeDocument/2006/relationships/header" Target="header1.xml" Id="rId25" /><Relationship Type="http://schemas.openxmlformats.org/officeDocument/2006/relationships/numbering" Target="numbering.xml" Id="rId2" /><Relationship Type="http://schemas.openxmlformats.org/officeDocument/2006/relationships/hyperlink" Target="https://www.cdc.gov/coronavirus/2019-nCoV/lab/guidelines-clinical-specimens.html" TargetMode="External" Id="rId20" /><Relationship Type="http://schemas.openxmlformats.org/officeDocument/2006/relationships/theme" Target="theme/theme1.xml" Id="rId29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hyperlink" Target="https://www.fda.gov/medical-devices/coronavirus-covid-19-and-medical-devices/pooled-sample-testing-and-screening-testing-covid-19" TargetMode="External" Id="rId24" /><Relationship Type="http://schemas.openxmlformats.org/officeDocument/2006/relationships/webSettings" Target="webSettings.xml" Id="rId5" /><Relationship Type="http://schemas.openxmlformats.org/officeDocument/2006/relationships/hyperlink" Target="https://www.fda.gov/medical-devices/coronavirus-disease-2019-covid-19-emergency-use-authorizations-medical-devices/vitro-diagnostics-euas" TargetMode="External" Id="rId23" /><Relationship Type="http://schemas.openxmlformats.org/officeDocument/2006/relationships/fontTable" Target="fontTable.xml" Id="rId28" /><Relationship Type="http://schemas.openxmlformats.org/officeDocument/2006/relationships/hyperlink" Target="https://www.cms.gov/files/document/qso-20-37-clianh.pdf" TargetMode="External" Id="rId19" /><Relationship Type="http://schemas.openxmlformats.org/officeDocument/2006/relationships/settings" Target="settings.xml" Id="rId4" /><Relationship Type="http://schemas.openxmlformats.org/officeDocument/2006/relationships/hyperlink" Target="https://www.cdc.gov/coronavirus/2019-ncov/lab/point-of-care-testing.html" TargetMode="External" Id="rId22" /><Relationship Type="http://schemas.openxmlformats.org/officeDocument/2006/relationships/header" Target="header2.xml" Id="rId27" /><Relationship Type="http://schemas.microsoft.com/office/2011/relationships/people" Target="people.xml" Id="Ra48ba89f9afb4547" /><Relationship Type="http://schemas.microsoft.com/office/2011/relationships/commentsExtended" Target="commentsExtended.xml" Id="R247ba413276e4e1f" /><Relationship Type="http://schemas.microsoft.com/office/2016/09/relationships/commentsIds" Target="commentsIds.xml" Id="Rac36ac7124834ad7" /><Relationship Type="http://schemas.openxmlformats.org/officeDocument/2006/relationships/hyperlink" Target="https://www.cdc.gov/coronavirus/2019-ncov/lab/naats.html" TargetMode="External" Id="Rcc8f232829334ef2" /><Relationship Type="http://schemas.openxmlformats.org/officeDocument/2006/relationships/hyperlink" Target="https://www.cdc.gov/coronavirus/2019-ncov/lab/resources/antigen-tests-guidelines.html" TargetMode="External" Id="R485e938f318649ca" /><Relationship Type="http://schemas.openxmlformats.org/officeDocument/2006/relationships/hyperlink" Target="https://www.cms.gov/files/document/qso-20-38-nh-revised.pdf" TargetMode="External" Id="R00307d12ecee45fc" /><Relationship Type="http://schemas.openxmlformats.org/officeDocument/2006/relationships/hyperlink" Target="https://www.cdc.gov/coronavirus/2019-ncov/lab/point-of-care-testing.html" TargetMode="External" Id="Re05b0eae814a49c5" /><Relationship Type="http://schemas.openxmlformats.org/officeDocument/2006/relationships/hyperlink" Target="https://www.cdc.gov/coronavirus/2019-ncov/lab/reporting-lab-data.html" TargetMode="External" Id="Rb919f12453ee40b6" /><Relationship Type="http://schemas.openxmlformats.org/officeDocument/2006/relationships/hyperlink" Target="https://www.cdc.gov/coronavirus/2019-ncov/lab/point-of-care-testing.html" TargetMode="External" Id="R6d7db534669a4c63" /><Relationship Type="http://schemas.openxmlformats.org/officeDocument/2006/relationships/hyperlink" Target="https://www.cdc.gov/coronavirus/2019-ncov/hcp/infection-control-recommendations.html" TargetMode="External" Id="R1dfc6fed0a94411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7B2907-5D44-4F15-B80C-99AFD72E8D0A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Susan M. LaGrange</dc:creator>
  <lastModifiedBy>Sue LaGrange</lastModifiedBy>
  <revision>9</revision>
  <dcterms:created xsi:type="dcterms:W3CDTF">2022-12-02T20:55:00.0000000Z</dcterms:created>
  <dcterms:modified xsi:type="dcterms:W3CDTF">2023-04-26T17:09:13.7738762Z</dcterms:modified>
</coreProperties>
</file>