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5A0DEBA">
                <wp:simplePos x="0" y="0"/>
                <wp:positionH relativeFrom="column">
                  <wp:posOffset>0</wp:posOffset>
                </wp:positionH>
                <wp:positionV relativeFrom="page">
                  <wp:posOffset>914400</wp:posOffset>
                </wp:positionV>
                <wp:extent cx="5943600" cy="3429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416F96" w:rsidRDefault="00622C56" w14:paraId="46296E76" w14:textId="470B4AA5">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rsidR="00945B7E" w:rsidRDefault="00945B7E" w14:paraId="6295E0F0" w14:textId="77777777">
                            <w:pPr>
                              <w:rPr>
                                <w:rFonts w:ascii="Calibri" w:hAnsi="Calibri"/>
                                <w:b/>
                                <w:color w:val="FFFFFF" w:themeColor="background1"/>
                                <w:sz w:val="72"/>
                              </w:rPr>
                            </w:pPr>
                          </w:p>
                          <w:p w:rsidRPr="00C82867" w:rsidR="00945B7E" w:rsidRDefault="00EE219D" w14:paraId="49A15722" w14:textId="3BB1CEF0">
                            <w:pPr>
                              <w:rPr>
                                <w:rFonts w:ascii="Calibri" w:hAnsi="Calibri"/>
                                <w:b/>
                                <w:color w:val="FFFFFF" w:themeColor="background1"/>
                                <w:sz w:val="48"/>
                                <w:szCs w:val="48"/>
                              </w:rPr>
                            </w:pPr>
                            <w:r>
                              <w:rPr>
                                <w:rFonts w:ascii="Calibri" w:hAnsi="Calibri"/>
                                <w:b/>
                                <w:color w:val="FFFFFF" w:themeColor="background1"/>
                                <w:sz w:val="72"/>
                              </w:rPr>
                              <w:t>Policy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">
                <v:textbo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416F96" w:rsidRDefault="00622C56" w14:paraId="46296E76" w14:textId="470B4AA5">
                      <w:pPr>
                        <w:rPr>
                          <w:rFonts w:ascii="Calibri" w:hAnsi="Calibri"/>
                          <w:b/>
                          <w:color w:val="FFFFFF" w:themeColor="background1"/>
                          <w:sz w:val="72"/>
                        </w:rPr>
                      </w:pPr>
                      <w:r>
                        <w:rPr>
                          <w:rFonts w:ascii="Calibri" w:hAnsi="Calibri"/>
                          <w:b/>
                          <w:color w:val="FFFFFF" w:themeColor="background1"/>
                          <w:sz w:val="72"/>
                        </w:rPr>
                        <w:t>Source Control</w:t>
                      </w:r>
                      <w:r w:rsidR="00037980">
                        <w:rPr>
                          <w:rFonts w:ascii="Calibri" w:hAnsi="Calibri"/>
                          <w:b/>
                          <w:color w:val="FFFFFF" w:themeColor="background1"/>
                          <w:sz w:val="72"/>
                        </w:rPr>
                        <w:t xml:space="preserve"> Measures </w:t>
                      </w:r>
                      <w:r w:rsidR="00274A27">
                        <w:rPr>
                          <w:rFonts w:ascii="Calibri" w:hAnsi="Calibri"/>
                          <w:b/>
                          <w:color w:val="FFFFFF" w:themeColor="background1"/>
                          <w:sz w:val="72"/>
                        </w:rPr>
                        <w:t xml:space="preserve">and Physical Distancing </w:t>
                      </w:r>
                    </w:p>
                    <w:p w:rsidR="00945B7E" w:rsidRDefault="00945B7E" w14:paraId="6295E0F0" w14:textId="77777777">
                      <w:pPr>
                        <w:rPr>
                          <w:rFonts w:ascii="Calibri" w:hAnsi="Calibri"/>
                          <w:b/>
                          <w:color w:val="FFFFFF" w:themeColor="background1"/>
                          <w:sz w:val="72"/>
                        </w:rPr>
                      </w:pPr>
                    </w:p>
                    <w:p w:rsidRPr="00C82867" w:rsidR="00945B7E" w:rsidRDefault="00EE219D" w14:paraId="49A15722" w14:textId="3BB1CEF0">
                      <w:pPr>
                        <w:rPr>
                          <w:rFonts w:ascii="Calibri" w:hAnsi="Calibri"/>
                          <w:b/>
                          <w:color w:val="FFFFFF" w:themeColor="background1"/>
                          <w:sz w:val="48"/>
                          <w:szCs w:val="48"/>
                        </w:rPr>
                      </w:pPr>
                      <w:r>
                        <w:rPr>
                          <w:rFonts w:ascii="Calibri" w:hAnsi="Calibri"/>
                          <w:b/>
                          <w:color w:val="FFFFFF" w:themeColor="background1"/>
                          <w:sz w:val="72"/>
                        </w:rPr>
                        <w:t>Policy and Procedures</w:t>
                      </w:r>
                    </w:p>
                  </w:txbxContent>
                </v:textbox>
                <w10:wrap anchory="page"/>
              </v:shape>
            </w:pict>
          </mc:Fallback>
        </mc:AlternateContent>
      </w:r>
    </w:p>
    <w:p w:rsidR="00622C56" w:rsidP="00622C56" w:rsidRDefault="00484844" w14:paraId="1A756181" w14:textId="77777777">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Pr="00EE219D" w:rsidR="00EE219D" w:rsidP="00EE219D" w:rsidRDefault="00EE219D" w14:paraId="6CB0AE13" w14:textId="77777777">
      <w:pPr>
        <w:jc w:val="center"/>
        <w:rPr>
          <w:rFonts w:asciiTheme="minorHAnsi" w:hAnsiTheme="minorHAnsi"/>
          <w:b/>
          <w:bCs/>
          <w:sz w:val="28"/>
          <w:szCs w:val="28"/>
        </w:rPr>
      </w:pPr>
      <w:r w:rsidRPr="00EE219D">
        <w:rPr>
          <w:rFonts w:asciiTheme="minorHAnsi" w:hAnsiTheme="minorHAnsi"/>
          <w:b/>
          <w:bCs/>
          <w:sz w:val="28"/>
          <w:szCs w:val="28"/>
        </w:rPr>
        <w:lastRenderedPageBreak/>
        <w:t>Sample Policy and Procedure</w:t>
      </w:r>
    </w:p>
    <w:p w:rsidRPr="00EE219D" w:rsidR="00EE219D" w:rsidP="00EE219D" w:rsidRDefault="00EE219D" w14:paraId="2F5C9BDD" w14:textId="7F590BB4">
      <w:pPr>
        <w:jc w:val="center"/>
        <w:rPr>
          <w:rFonts w:cs="Calibri" w:asciiTheme="minorHAnsi" w:hAnsiTheme="minorHAnsi"/>
          <w:b/>
          <w:color w:val="000000"/>
          <w:sz w:val="28"/>
          <w:szCs w:val="28"/>
        </w:rPr>
      </w:pPr>
      <w:r w:rsidRPr="00EE219D">
        <w:rPr>
          <w:rFonts w:cs="Calibri" w:asciiTheme="minorHAnsi" w:hAnsiTheme="minorHAnsi"/>
          <w:b/>
          <w:color w:val="000000"/>
          <w:sz w:val="28"/>
          <w:szCs w:val="28"/>
        </w:rPr>
        <w:t xml:space="preserve">Source Control Measures </w:t>
      </w:r>
    </w:p>
    <w:p w:rsidRPr="00EE219D" w:rsidR="00EE219D" w:rsidP="00EE219D" w:rsidRDefault="00EE219D" w14:paraId="0ED43C7D" w14:textId="77777777">
      <w:pPr>
        <w:rPr>
          <w:rFonts w:cs="Calibri" w:asciiTheme="minorHAnsi" w:hAnsiTheme="minorHAnsi"/>
          <w:b/>
          <w:color w:val="000000"/>
          <w:sz w:val="28"/>
          <w:szCs w:val="28"/>
        </w:rPr>
      </w:pPr>
    </w:p>
    <w:p w:rsidRPr="00383C64" w:rsidR="00EE219D" w:rsidP="00EE219D" w:rsidRDefault="00EE219D" w14:paraId="0190D8C1" w14:textId="054CBEC9">
      <w:pPr>
        <w:keepNext/>
        <w:tabs>
          <w:tab w:val="left" w:pos="2250"/>
          <w:tab w:val="left" w:pos="2790"/>
        </w:tabs>
        <w:outlineLvl w:val="2"/>
        <w:rPr>
          <w:rFonts w:cs="Calibri" w:asciiTheme="minorHAnsi" w:hAnsiTheme="minorHAnsi"/>
          <w:b/>
          <w:color w:val="000000"/>
        </w:rPr>
      </w:pPr>
      <w:r w:rsidRPr="00383C64">
        <w:rPr>
          <w:rFonts w:cs="Calibri" w:asciiTheme="minorHAnsi" w:hAnsiTheme="minorHAnsi"/>
          <w:b/>
          <w:color w:val="000000"/>
        </w:rPr>
        <w:t>Background</w:t>
      </w:r>
    </w:p>
    <w:p w:rsidRPr="00383C64" w:rsidR="00EE219D" w:rsidP="00EE219D" w:rsidRDefault="00EE219D" w14:paraId="6C3FE2E8" w14:textId="2CEC510A">
      <w:pPr>
        <w:keepNext/>
        <w:tabs>
          <w:tab w:val="left" w:pos="2250"/>
          <w:tab w:val="left" w:pos="2790"/>
        </w:tabs>
        <w:outlineLvl w:val="2"/>
        <w:rPr>
          <w:rFonts w:cs="Calibri" w:asciiTheme="minorHAnsi" w:hAnsiTheme="minorHAnsi"/>
          <w:b/>
          <w:color w:val="000000"/>
        </w:rPr>
      </w:pPr>
    </w:p>
    <w:p w:rsidRPr="00227FC1" w:rsidR="00EE219D" w:rsidP="00EE219D" w:rsidRDefault="00383C64" w14:paraId="58C7CA77" w14:textId="78454B3B">
      <w:pPr>
        <w:keepNext/>
        <w:tabs>
          <w:tab w:val="left" w:pos="2250"/>
          <w:tab w:val="left" w:pos="2790"/>
        </w:tabs>
        <w:outlineLvl w:val="2"/>
        <w:rPr>
          <w:rFonts w:ascii="Calibri" w:hAnsi="Calibri" w:cs="Calibri"/>
          <w:sz w:val="22"/>
          <w:szCs w:val="22"/>
        </w:rPr>
      </w:pPr>
      <w:r w:rsidRPr="00227FC1">
        <w:rPr>
          <w:rFonts w:ascii="Calibri" w:hAnsi="Calibri" w:cs="Calibri"/>
          <w:sz w:val="22"/>
          <w:szCs w:val="22"/>
        </w:rPr>
        <w:t xml:space="preserve">The Centers for Disease Control and Prevention (CDC) and the Centers for Medicare and Medicaid Services (CMS) have provided guidance to reduce the risk of COVID- 19 outbreaks, including the implementation of </w:t>
      </w:r>
      <w:r w:rsidR="007A45E1">
        <w:rPr>
          <w:rFonts w:ascii="Calibri" w:hAnsi="Calibri" w:cs="Calibri"/>
          <w:sz w:val="22"/>
          <w:szCs w:val="22"/>
        </w:rPr>
        <w:t>source control and physical distancing in large gatherings.</w:t>
      </w:r>
    </w:p>
    <w:p w:rsidRPr="00227FC1" w:rsidR="00383C64" w:rsidP="00EE219D" w:rsidRDefault="00383C64" w14:paraId="58B9822A" w14:textId="77777777">
      <w:pPr>
        <w:keepNext/>
        <w:tabs>
          <w:tab w:val="left" w:pos="2250"/>
          <w:tab w:val="left" w:pos="2790"/>
        </w:tabs>
        <w:outlineLvl w:val="2"/>
        <w:rPr>
          <w:rFonts w:ascii="Calibri" w:hAnsi="Calibri" w:cs="Calibri"/>
          <w:b/>
          <w:color w:val="000000"/>
          <w:sz w:val="22"/>
          <w:szCs w:val="22"/>
        </w:rPr>
      </w:pPr>
    </w:p>
    <w:p w:rsidRPr="007A45E1" w:rsidR="00EE219D" w:rsidP="00EE219D" w:rsidRDefault="00EE219D" w14:paraId="1D0E50E7" w14:textId="119CA126">
      <w:pPr>
        <w:pStyle w:val="NoSpacing"/>
        <w:rPr>
          <w:rFonts w:ascii="Calibri" w:hAnsi="Calibri" w:cs="Calibri"/>
          <w:vertAlign w:val="superscript"/>
        </w:rPr>
      </w:pPr>
      <w:r w:rsidRPr="00227FC1">
        <w:rPr>
          <w:rFonts w:ascii="Calibri" w:hAnsi="Calibri" w:cs="Calibri"/>
        </w:rPr>
        <w:t xml:space="preserve">For purposes of this document, </w:t>
      </w:r>
      <w:r w:rsidRPr="00227FC1" w:rsidR="001D71E9">
        <w:rPr>
          <w:rFonts w:ascii="Calibri" w:hAnsi="Calibri" w:cs="Calibri"/>
        </w:rPr>
        <w:t>Healthcare Personnel (</w:t>
      </w:r>
      <w:r w:rsidRPr="00227FC1" w:rsidR="001D71E9">
        <w:rPr>
          <w:rFonts w:ascii="Calibri" w:hAnsi="Calibri" w:cs="Calibri"/>
          <w:color w:val="000000"/>
          <w:shd w:val="clear" w:color="auto" w:fill="FFFFFF"/>
        </w:rPr>
        <w:t xml:space="preserve">HCP) </w:t>
      </w:r>
      <w:r w:rsidRPr="00227FC1" w:rsidR="00DF4F15">
        <w:rPr>
          <w:rFonts w:ascii="Calibri" w:hAnsi="Calibri" w:cs="Calibri"/>
          <w:color w:val="000000"/>
          <w:shd w:val="clear" w:color="auto" w:fill="FFFFFF"/>
        </w:rPr>
        <w:t>“</w:t>
      </w:r>
      <w:r w:rsidRPr="007A45E1" w:rsidR="007A45E1">
        <w:rPr>
          <w:rFonts w:ascii="Calibri" w:hAnsi="Calibri" w:cs="Calibri"/>
          <w:color w:val="000000"/>
          <w:shd w:val="clear" w:color="auto" w:fill="FFFFFF"/>
        </w:rPr>
        <w:t>refers to all paid and unpaid persons serving in healthcare settings who have the potential for direct or indirect exposure to patients or infectious materials, including body substances (e.g., blood, tissue, and specific body fluids); contaminated medical supplies, devices, and equipment; contaminated environmental surfaces; or contaminated air. HCP include, but are not limited to, emergency medical service personnel, nurses, nursing assistants, home healthcare personnel, physicians, technicians, therapists, phlebotomists, pharmacists, dental healthcare personnel,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r w:rsidRPr="007A45E1" w:rsidR="001D71E9">
        <w:rPr>
          <w:rFonts w:ascii="Calibri" w:hAnsi="Calibri" w:cs="Calibri"/>
          <w:color w:val="000000"/>
          <w:shd w:val="clear" w:color="auto" w:fill="FFFFFF"/>
          <w:vertAlign w:val="superscript"/>
        </w:rPr>
        <w:t>1</w:t>
      </w:r>
    </w:p>
    <w:p w:rsidRPr="00227FC1" w:rsidR="00383C64" w:rsidP="00EE219D" w:rsidRDefault="00383C64" w14:paraId="1163ECC4" w14:textId="417ED739">
      <w:pPr>
        <w:pStyle w:val="NoSpacing"/>
        <w:rPr>
          <w:rFonts w:ascii="Calibri" w:hAnsi="Calibri" w:cs="Calibri"/>
        </w:rPr>
      </w:pPr>
    </w:p>
    <w:p w:rsidRPr="007A45E1" w:rsidR="00383C64" w:rsidP="00383C64" w:rsidRDefault="00383C64" w14:paraId="44B0AF30" w14:textId="247D5D8B">
      <w:pPr>
        <w:pStyle w:val="NoSpacing"/>
        <w:rPr>
          <w:rFonts w:ascii="Calibri" w:hAnsi="Calibri" w:cs="Calibri"/>
          <w:vertAlign w:val="superscript"/>
        </w:rPr>
      </w:pPr>
      <w:r w:rsidRPr="007A45E1">
        <w:rPr>
          <w:rFonts w:ascii="Calibri" w:hAnsi="Calibri" w:cs="Calibri"/>
        </w:rPr>
        <w:t xml:space="preserve">“Source Control </w:t>
      </w:r>
      <w:r w:rsidRPr="007A45E1" w:rsidR="007A45E1">
        <w:rPr>
          <w:rFonts w:ascii="Calibri" w:hAnsi="Calibri" w:cs="Calibri"/>
          <w:color w:val="000000"/>
          <w:shd w:val="clear" w:color="auto" w:fill="FFFFFF"/>
        </w:rPr>
        <w:t>refers to use of respirators or well-fitting facemasks or cloth masks to cover a person’s mouth and nose to prevent spread of respiratory secretions when they are breathing, talking, sneezing, or coughing.”</w:t>
      </w:r>
      <w:r w:rsidR="007A45E1">
        <w:rPr>
          <w:rFonts w:ascii="Open Sans" w:hAnsi="Open Sans" w:cs="Open Sans"/>
          <w:color w:val="000000"/>
          <w:sz w:val="26"/>
          <w:szCs w:val="26"/>
          <w:shd w:val="clear" w:color="auto" w:fill="FFFFFF"/>
          <w:vertAlign w:val="superscript"/>
        </w:rPr>
        <w:t>1</w:t>
      </w:r>
    </w:p>
    <w:p w:rsidRPr="00227FC1" w:rsidR="00383C64" w:rsidP="00383C64" w:rsidRDefault="00383C64" w14:paraId="493DA59F" w14:textId="77777777">
      <w:pPr>
        <w:pStyle w:val="NoSpacing"/>
        <w:rPr>
          <w:rFonts w:ascii="Calibri" w:hAnsi="Calibri" w:cs="Calibri"/>
        </w:rPr>
      </w:pPr>
    </w:p>
    <w:p w:rsidR="00383C64" w:rsidP="00383C64" w:rsidRDefault="007A45E1" w14:paraId="3A136C24" w14:textId="058AAE57">
      <w:pPr>
        <w:pStyle w:val="NoSpacing"/>
        <w:rPr>
          <w:rFonts w:ascii="Calibri" w:hAnsi="Calibri" w:cs="Calibri"/>
        </w:rPr>
      </w:pPr>
      <w:r>
        <w:rPr>
          <w:rFonts w:ascii="Calibri" w:hAnsi="Calibri" w:cs="Calibri"/>
        </w:rPr>
        <w:t>It is important that anyone that is at high risk for severe illness should wear source control that provides them with the most protective option that fits well and will be consistently worn.</w:t>
      </w:r>
    </w:p>
    <w:p w:rsidR="007A45E1" w:rsidP="00383C64" w:rsidRDefault="007A45E1" w14:paraId="344EE48C" w14:textId="51A29764">
      <w:pPr>
        <w:pStyle w:val="NoSpacing"/>
        <w:rPr>
          <w:rFonts w:ascii="Calibri" w:hAnsi="Calibri" w:cs="Calibri"/>
        </w:rPr>
      </w:pPr>
    </w:p>
    <w:p w:rsidRPr="00DC41D9" w:rsidR="00BE6F6E" w:rsidP="00DC41D9" w:rsidRDefault="007A45E1" w14:paraId="430EAA07" w14:textId="2ACECFDF">
      <w:pPr>
        <w:pStyle w:val="NoSpacing"/>
        <w:rPr>
          <w:rFonts w:ascii="Calibri" w:hAnsi="Calibri" w:cs="Calibri"/>
        </w:rPr>
      </w:pPr>
      <w:r>
        <w:rPr>
          <w:rFonts w:ascii="Calibri" w:hAnsi="Calibri" w:cs="Calibri"/>
        </w:rPr>
        <w:t>The guidance for source control includes recommendations based upon the SARS-CoV-2 Community Transmission levels.</w:t>
      </w:r>
    </w:p>
    <w:p w:rsidR="005D434A" w:rsidP="00EE219D" w:rsidRDefault="005D434A" w14:paraId="3AFC14E3" w14:textId="77777777">
      <w:pPr>
        <w:keepNext/>
        <w:tabs>
          <w:tab w:val="left" w:pos="2250"/>
          <w:tab w:val="left" w:pos="2790"/>
        </w:tabs>
        <w:outlineLvl w:val="2"/>
        <w:rPr>
          <w:rFonts w:ascii="Calibri" w:hAnsi="Calibri" w:cs="Calibri"/>
          <w:b/>
          <w:color w:val="000000"/>
          <w:sz w:val="22"/>
          <w:szCs w:val="22"/>
        </w:rPr>
      </w:pPr>
    </w:p>
    <w:p w:rsidR="00EE219D" w:rsidP="00EE219D" w:rsidRDefault="00EE219D" w14:paraId="7F213AA8" w14:textId="4A3A55D8">
      <w:pPr>
        <w:keepNext/>
        <w:tabs>
          <w:tab w:val="left" w:pos="2250"/>
          <w:tab w:val="left" w:pos="2790"/>
        </w:tabs>
        <w:outlineLvl w:val="2"/>
        <w:rPr>
          <w:rFonts w:ascii="Calibri" w:hAnsi="Calibri" w:cs="Calibri"/>
          <w:b/>
          <w:color w:val="000000"/>
          <w:sz w:val="22"/>
          <w:szCs w:val="22"/>
        </w:rPr>
      </w:pPr>
      <w:r w:rsidRPr="00227FC1">
        <w:rPr>
          <w:rFonts w:ascii="Calibri" w:hAnsi="Calibri" w:cs="Calibri"/>
          <w:b/>
          <w:color w:val="000000"/>
          <w:sz w:val="22"/>
          <w:szCs w:val="22"/>
        </w:rPr>
        <w:t>Policy</w:t>
      </w:r>
    </w:p>
    <w:p w:rsidRPr="00227FC1" w:rsidR="00227FC1" w:rsidP="00EE219D" w:rsidRDefault="00227FC1" w14:paraId="2395015A" w14:textId="77777777">
      <w:pPr>
        <w:keepNext/>
        <w:tabs>
          <w:tab w:val="left" w:pos="2250"/>
          <w:tab w:val="left" w:pos="2790"/>
        </w:tabs>
        <w:outlineLvl w:val="2"/>
        <w:rPr>
          <w:rFonts w:ascii="Calibri" w:hAnsi="Calibri" w:cs="Calibri"/>
          <w:b/>
          <w:color w:val="000000"/>
          <w:sz w:val="22"/>
          <w:szCs w:val="22"/>
        </w:rPr>
      </w:pPr>
    </w:p>
    <w:p w:rsidR="00EE219D" w:rsidP="00EE219D" w:rsidRDefault="00EE219D" w14:paraId="38D44887" w14:textId="6123E261">
      <w:pPr>
        <w:keepNext/>
        <w:tabs>
          <w:tab w:val="left" w:pos="2250"/>
          <w:tab w:val="left" w:pos="2790"/>
        </w:tabs>
        <w:outlineLvl w:val="2"/>
        <w:rPr>
          <w:rFonts w:ascii="Calibri" w:hAnsi="Calibri" w:cs="Calibri"/>
          <w:bCs/>
          <w:color w:val="000000"/>
          <w:sz w:val="22"/>
          <w:szCs w:val="22"/>
        </w:rPr>
      </w:pPr>
      <w:r w:rsidRPr="00227FC1">
        <w:rPr>
          <w:rFonts w:ascii="Calibri" w:hAnsi="Calibri" w:cs="Calibri"/>
          <w:bCs/>
          <w:color w:val="000000"/>
          <w:sz w:val="22"/>
          <w:szCs w:val="22"/>
        </w:rPr>
        <w:t xml:space="preserve">It is the policy of this facility to implement source control measures for </w:t>
      </w:r>
      <w:r w:rsidRPr="00227FC1" w:rsidR="00DF4F15">
        <w:rPr>
          <w:rFonts w:ascii="Calibri" w:hAnsi="Calibri" w:cs="Calibri"/>
          <w:bCs/>
          <w:color w:val="000000"/>
          <w:sz w:val="22"/>
          <w:szCs w:val="22"/>
        </w:rPr>
        <w:t>HCP</w:t>
      </w:r>
      <w:r w:rsidRPr="00227FC1">
        <w:rPr>
          <w:rFonts w:ascii="Calibri" w:hAnsi="Calibri" w:cs="Calibri"/>
          <w:bCs/>
          <w:color w:val="000000"/>
          <w:sz w:val="22"/>
          <w:szCs w:val="22"/>
        </w:rPr>
        <w:t xml:space="preserve">, residents, visitors, and vendors in accordance </w:t>
      </w:r>
      <w:r w:rsidRPr="00227FC1" w:rsidR="00383C64">
        <w:rPr>
          <w:rFonts w:ascii="Calibri" w:hAnsi="Calibri" w:cs="Calibri"/>
          <w:bCs/>
          <w:color w:val="000000"/>
          <w:sz w:val="22"/>
          <w:szCs w:val="22"/>
        </w:rPr>
        <w:t>with</w:t>
      </w:r>
      <w:r w:rsidRPr="00227FC1">
        <w:rPr>
          <w:rFonts w:ascii="Calibri" w:hAnsi="Calibri" w:cs="Calibri"/>
          <w:bCs/>
          <w:color w:val="000000"/>
          <w:sz w:val="22"/>
          <w:szCs w:val="22"/>
        </w:rPr>
        <w:t xml:space="preserve"> current COVID-19 guidance.  </w:t>
      </w:r>
    </w:p>
    <w:p w:rsidR="007B65C4" w:rsidP="00EE219D" w:rsidRDefault="007B65C4" w14:paraId="38B0804D" w14:textId="6636D460">
      <w:pPr>
        <w:keepNext/>
        <w:tabs>
          <w:tab w:val="left" w:pos="2250"/>
          <w:tab w:val="left" w:pos="2790"/>
        </w:tabs>
        <w:outlineLvl w:val="2"/>
        <w:rPr>
          <w:rFonts w:ascii="Calibri" w:hAnsi="Calibri" w:cs="Calibri"/>
          <w:bCs/>
          <w:color w:val="000000"/>
          <w:sz w:val="22"/>
          <w:szCs w:val="22"/>
        </w:rPr>
      </w:pPr>
    </w:p>
    <w:p w:rsidR="007B65C4" w:rsidP="00EE219D" w:rsidRDefault="007B65C4" w14:paraId="607E4EE0" w14:textId="41FEE17C">
      <w:pPr>
        <w:keepNext/>
        <w:tabs>
          <w:tab w:val="left" w:pos="2250"/>
          <w:tab w:val="left" w:pos="2790"/>
        </w:tabs>
        <w:outlineLvl w:val="2"/>
        <w:rPr>
          <w:rFonts w:ascii="Calibri" w:hAnsi="Calibri" w:cs="Calibri"/>
          <w:bCs/>
          <w:color w:val="000000"/>
          <w:sz w:val="22"/>
          <w:szCs w:val="22"/>
        </w:rPr>
      </w:pPr>
      <w:r>
        <w:rPr>
          <w:rFonts w:ascii="Calibri" w:hAnsi="Calibri" w:cs="Calibri"/>
          <w:bCs/>
          <w:color w:val="000000"/>
          <w:sz w:val="22"/>
          <w:szCs w:val="22"/>
        </w:rPr>
        <w:t xml:space="preserve">Source control </w:t>
      </w:r>
      <w:r w:rsidR="005D434A">
        <w:rPr>
          <w:rFonts w:ascii="Calibri" w:hAnsi="Calibri" w:cs="Calibri"/>
          <w:bCs/>
          <w:color w:val="000000"/>
          <w:sz w:val="22"/>
          <w:szCs w:val="22"/>
        </w:rPr>
        <w:t>options for health care personnel includes:</w:t>
      </w:r>
    </w:p>
    <w:p w:rsidR="005D434A" w:rsidP="005D434A" w:rsidRDefault="005D434A" w14:paraId="2AD68AA8" w14:textId="77777777">
      <w:pPr>
        <w:pStyle w:val="NoSpacing"/>
        <w:numPr>
          <w:ilvl w:val="0"/>
          <w:numId w:val="6"/>
        </w:numPr>
        <w:rPr>
          <w:rFonts w:ascii="Calibri" w:hAnsi="Calibri" w:cs="Calibri"/>
        </w:rPr>
      </w:pPr>
      <w:r>
        <w:rPr>
          <w:rFonts w:ascii="Calibri" w:hAnsi="Calibri" w:cs="Calibri"/>
        </w:rPr>
        <w:t xml:space="preserve">“A NIOSH-approved particulate respirator with N95 filters or </w:t>
      </w:r>
      <w:proofErr w:type="gramStart"/>
      <w:r>
        <w:rPr>
          <w:rFonts w:ascii="Calibri" w:hAnsi="Calibri" w:cs="Calibri"/>
        </w:rPr>
        <w:t>higher;</w:t>
      </w:r>
      <w:proofErr w:type="gramEnd"/>
    </w:p>
    <w:p w:rsidR="005D434A" w:rsidP="005D434A" w:rsidRDefault="005D434A" w14:paraId="0392189D" w14:textId="77777777">
      <w:pPr>
        <w:pStyle w:val="NoSpacing"/>
        <w:numPr>
          <w:ilvl w:val="0"/>
          <w:numId w:val="6"/>
        </w:numPr>
        <w:rPr>
          <w:rFonts w:ascii="Calibri" w:hAnsi="Calibri" w:cs="Calibri"/>
        </w:rPr>
      </w:pPr>
      <w:r>
        <w:rPr>
          <w:rFonts w:ascii="Calibri" w:hAnsi="Calibri" w:cs="Calibri"/>
        </w:rPr>
        <w:t>A respirator approved under standards used in other countries that are similar to NIOSH-approved N95 filtering facepiece respirators (Note:  these should not be used instead of a NIOSH-approved respirator when respiratory protection is indicated</w:t>
      </w:r>
      <w:proofErr w:type="gramStart"/>
      <w:r>
        <w:rPr>
          <w:rFonts w:ascii="Calibri" w:hAnsi="Calibri" w:cs="Calibri"/>
        </w:rPr>
        <w:t>);</w:t>
      </w:r>
      <w:proofErr w:type="gramEnd"/>
    </w:p>
    <w:p w:rsidR="005D434A" w:rsidP="005D434A" w:rsidRDefault="005D434A" w14:paraId="16C700C0" w14:textId="77777777">
      <w:pPr>
        <w:pStyle w:val="NoSpacing"/>
        <w:numPr>
          <w:ilvl w:val="0"/>
          <w:numId w:val="6"/>
        </w:numPr>
        <w:rPr>
          <w:rFonts w:ascii="Calibri" w:hAnsi="Calibri" w:cs="Calibri"/>
        </w:rPr>
      </w:pPr>
      <w:r>
        <w:rPr>
          <w:rFonts w:ascii="Calibri" w:hAnsi="Calibri" w:cs="Calibri"/>
        </w:rPr>
        <w:t xml:space="preserve">A barrier face covering that meets ASTM F3502-21 requirements including Workplace Performance and Workplace Performance Plus </w:t>
      </w:r>
      <w:proofErr w:type="gramStart"/>
      <w:r>
        <w:rPr>
          <w:rFonts w:ascii="Calibri" w:hAnsi="Calibri" w:cs="Calibri"/>
        </w:rPr>
        <w:t>masks;</w:t>
      </w:r>
      <w:proofErr w:type="gramEnd"/>
      <w:r>
        <w:rPr>
          <w:rFonts w:ascii="Calibri" w:hAnsi="Calibri" w:cs="Calibri"/>
        </w:rPr>
        <w:t xml:space="preserve"> OR</w:t>
      </w:r>
    </w:p>
    <w:p w:rsidRPr="00121EE6" w:rsidR="005D434A" w:rsidP="005D434A" w:rsidRDefault="005D434A" w14:paraId="6B7484B0" w14:textId="77777777">
      <w:pPr>
        <w:pStyle w:val="NoSpacing"/>
        <w:numPr>
          <w:ilvl w:val="0"/>
          <w:numId w:val="6"/>
        </w:numPr>
        <w:rPr>
          <w:rFonts w:ascii="Calibri" w:hAnsi="Calibri" w:cs="Calibri"/>
        </w:rPr>
      </w:pPr>
      <w:r>
        <w:rPr>
          <w:rFonts w:ascii="Calibri" w:hAnsi="Calibri" w:cs="Calibri"/>
        </w:rPr>
        <w:lastRenderedPageBreak/>
        <w:t>A well-fitting facemask.”</w:t>
      </w:r>
      <w:r>
        <w:rPr>
          <w:rFonts w:ascii="Calibri" w:hAnsi="Calibri" w:cs="Calibri"/>
          <w:vertAlign w:val="superscript"/>
        </w:rPr>
        <w:t>1</w:t>
      </w:r>
    </w:p>
    <w:p w:rsidR="005D434A" w:rsidP="00EE219D" w:rsidRDefault="005D434A" w14:paraId="6A1D1D59" w14:textId="14D530F5">
      <w:pPr>
        <w:keepNext/>
        <w:tabs>
          <w:tab w:val="left" w:pos="2250"/>
          <w:tab w:val="left" w:pos="2790"/>
        </w:tabs>
        <w:outlineLvl w:val="2"/>
        <w:rPr>
          <w:rFonts w:ascii="Calibri" w:hAnsi="Calibri" w:cs="Calibri"/>
          <w:bCs/>
          <w:color w:val="000000"/>
          <w:sz w:val="22"/>
          <w:szCs w:val="22"/>
        </w:rPr>
      </w:pPr>
    </w:p>
    <w:p w:rsidRPr="00227FC1" w:rsidR="00DC41D9" w:rsidP="00EE219D" w:rsidRDefault="00DC41D9" w14:paraId="51C3E3EB" w14:textId="72A90CA1">
      <w:pPr>
        <w:keepNext/>
        <w:tabs>
          <w:tab w:val="left" w:pos="2250"/>
          <w:tab w:val="left" w:pos="2790"/>
        </w:tabs>
        <w:outlineLvl w:val="2"/>
        <w:rPr>
          <w:rFonts w:ascii="Calibri" w:hAnsi="Calibri" w:cs="Calibri"/>
          <w:bCs/>
          <w:color w:val="000000"/>
          <w:sz w:val="22"/>
          <w:szCs w:val="22"/>
        </w:rPr>
      </w:pPr>
      <w:r w:rsidRPr="00DC41D9">
        <w:rPr>
          <w:rFonts w:ascii="Calibri" w:hAnsi="Calibri" w:cs="Calibri"/>
          <w:b/>
          <w:color w:val="000000"/>
          <w:sz w:val="22"/>
          <w:szCs w:val="22"/>
        </w:rPr>
        <w:t>Note:</w:t>
      </w:r>
      <w:r>
        <w:rPr>
          <w:rFonts w:ascii="Calibri" w:hAnsi="Calibri" w:cs="Calibri"/>
          <w:bCs/>
          <w:color w:val="000000"/>
          <w:sz w:val="22"/>
          <w:szCs w:val="22"/>
        </w:rPr>
        <w:t xml:space="preserve">  When the above options are used for only source control, they can be used for the entire shift unless soiled, damaged or hard to breathe through.</w:t>
      </w:r>
    </w:p>
    <w:p w:rsidRPr="00227FC1" w:rsidR="00EE219D" w:rsidP="00EE219D" w:rsidRDefault="00EE219D" w14:paraId="6B0BA94B" w14:textId="77777777">
      <w:pPr>
        <w:outlineLvl w:val="2"/>
        <w:rPr>
          <w:rFonts w:ascii="Calibri" w:hAnsi="Calibri" w:cs="Calibri"/>
          <w:sz w:val="22"/>
          <w:szCs w:val="22"/>
        </w:rPr>
      </w:pPr>
    </w:p>
    <w:p w:rsidR="00DC41D9" w:rsidP="00EE219D" w:rsidRDefault="00DC41D9" w14:paraId="41D5313D" w14:textId="77777777">
      <w:pPr>
        <w:outlineLvl w:val="2"/>
        <w:rPr>
          <w:rFonts w:ascii="Calibri" w:hAnsi="Calibri" w:cs="Calibri"/>
          <w:b/>
          <w:bCs/>
          <w:sz w:val="22"/>
          <w:szCs w:val="22"/>
        </w:rPr>
      </w:pPr>
    </w:p>
    <w:p w:rsidR="00EE219D" w:rsidP="00EE219D" w:rsidRDefault="00EE219D" w14:paraId="396A9ACE" w14:textId="5A56750C">
      <w:pPr>
        <w:outlineLvl w:val="2"/>
        <w:rPr>
          <w:rFonts w:ascii="Calibri" w:hAnsi="Calibri" w:cs="Calibri"/>
          <w:b/>
          <w:bCs/>
          <w:sz w:val="22"/>
          <w:szCs w:val="22"/>
        </w:rPr>
      </w:pPr>
      <w:r w:rsidRPr="00227FC1">
        <w:rPr>
          <w:rFonts w:ascii="Calibri" w:hAnsi="Calibri" w:cs="Calibri"/>
          <w:b/>
          <w:bCs/>
          <w:sz w:val="22"/>
          <w:szCs w:val="22"/>
        </w:rPr>
        <w:t>Procedure</w:t>
      </w:r>
    </w:p>
    <w:p w:rsidRPr="00227FC1" w:rsidR="00227FC1" w:rsidP="00EE219D" w:rsidRDefault="00227FC1" w14:paraId="079FA097" w14:textId="77777777">
      <w:pPr>
        <w:outlineLvl w:val="2"/>
        <w:rPr>
          <w:rFonts w:ascii="Calibri" w:hAnsi="Calibri" w:cs="Calibri"/>
          <w:b/>
          <w:bCs/>
          <w:sz w:val="22"/>
          <w:szCs w:val="22"/>
        </w:rPr>
      </w:pPr>
    </w:p>
    <w:p w:rsidR="007A45E1" w:rsidP="007A45E1" w:rsidRDefault="007A45E1" w14:paraId="3A4321AC" w14:textId="3F0FEBB5">
      <w:pPr>
        <w:pStyle w:val="ListParagraph"/>
        <w:numPr>
          <w:ilvl w:val="0"/>
          <w:numId w:val="5"/>
        </w:numPr>
        <w:outlineLvl w:val="2"/>
        <w:rPr>
          <w:rFonts w:ascii="Calibri" w:hAnsi="Calibri" w:cs="Calibri"/>
          <w:sz w:val="22"/>
          <w:szCs w:val="22"/>
        </w:rPr>
      </w:pPr>
      <w:r>
        <w:rPr>
          <w:rFonts w:ascii="Calibri" w:hAnsi="Calibri" w:cs="Calibri"/>
          <w:sz w:val="22"/>
          <w:szCs w:val="22"/>
        </w:rPr>
        <w:t>The Infection Preventionist will identify the SARS-CoV-2 Community Transmission levels to determine source control:</w:t>
      </w:r>
    </w:p>
    <w:p w:rsidR="007A45E1" w:rsidP="005D434A" w:rsidRDefault="007A45E1" w14:paraId="60D25FC9" w14:textId="3E65F655">
      <w:pPr>
        <w:pStyle w:val="ListParagraph"/>
        <w:numPr>
          <w:ilvl w:val="1"/>
          <w:numId w:val="5"/>
        </w:numPr>
        <w:outlineLvl w:val="2"/>
        <w:rPr>
          <w:rFonts w:ascii="Calibri" w:hAnsi="Calibri" w:cs="Calibri"/>
          <w:sz w:val="22"/>
          <w:szCs w:val="22"/>
        </w:rPr>
      </w:pPr>
      <w:r>
        <w:rPr>
          <w:rFonts w:ascii="Calibri" w:hAnsi="Calibri" w:cs="Calibri"/>
          <w:sz w:val="22"/>
          <w:szCs w:val="22"/>
        </w:rPr>
        <w:t>When SARS-CoV-2 Community Transmission levels are high, source control will be implemented for everyone in the facility when in areas where resident’s will be encountered</w:t>
      </w:r>
      <w:r w:rsidR="005D434A">
        <w:rPr>
          <w:rFonts w:ascii="Calibri" w:hAnsi="Calibri" w:cs="Calibri"/>
          <w:sz w:val="22"/>
          <w:szCs w:val="22"/>
        </w:rPr>
        <w:t>.</w:t>
      </w:r>
    </w:p>
    <w:p w:rsidRPr="005D434A" w:rsidR="005D434A" w:rsidP="005D434A" w:rsidRDefault="005D434A" w14:paraId="304010DB" w14:textId="4D7A3489">
      <w:pPr>
        <w:numPr>
          <w:ilvl w:val="0"/>
          <w:numId w:val="7"/>
        </w:numPr>
        <w:shd w:val="clear" w:color="auto" w:fill="FFFFFF"/>
        <w:rPr>
          <w:rFonts w:asciiTheme="minorHAnsi" w:hAnsiTheme="minorHAnsi" w:cstheme="minorHAnsi"/>
          <w:color w:val="000000"/>
          <w:sz w:val="22"/>
          <w:szCs w:val="22"/>
        </w:rPr>
      </w:pPr>
      <w:r w:rsidRPr="005D434A">
        <w:rPr>
          <w:rFonts w:asciiTheme="minorHAnsi" w:hAnsiTheme="minorHAnsi" w:cstheme="minorHAnsi"/>
          <w:sz w:val="22"/>
          <w:szCs w:val="22"/>
        </w:rPr>
        <w:t>“</w:t>
      </w:r>
      <w:r w:rsidRPr="005D434A">
        <w:rPr>
          <w:rFonts w:asciiTheme="minorHAnsi" w:hAnsiTheme="minorHAnsi" w:cstheme="minorHAnsi"/>
          <w:color w:val="000000"/>
          <w:sz w:val="22"/>
          <w:szCs w:val="22"/>
        </w:rPr>
        <w:t>HCP could choose not to wear source control when they are in well-defined areas that are restricted from patient access (e.g., staff meeting rooms) if they do not otherwise meet the criteria described below and </w:t>
      </w:r>
      <w:hyperlink w:history="1" w:anchor="county-view?list_select_state=all_states&amp;list_select_county=all_counties&amp;data-type=CommunityLevels&amp;null=CommunityLevels" r:id="rId8">
        <w:r w:rsidRPr="005D434A">
          <w:rPr>
            <w:rFonts w:asciiTheme="minorHAnsi" w:hAnsiTheme="minorHAnsi" w:cstheme="minorHAnsi"/>
            <w:color w:val="075290"/>
            <w:sz w:val="22"/>
            <w:szCs w:val="22"/>
            <w:u w:val="single"/>
          </w:rPr>
          <w:t>Community Levels</w:t>
        </w:r>
      </w:hyperlink>
      <w:r w:rsidRPr="005D434A">
        <w:rPr>
          <w:rFonts w:asciiTheme="minorHAnsi" w:hAnsiTheme="minorHAnsi" w:cstheme="minorHAnsi"/>
          <w:color w:val="000000"/>
          <w:sz w:val="22"/>
          <w:szCs w:val="22"/>
        </w:rPr>
        <w:t> are not also high. When </w:t>
      </w:r>
      <w:hyperlink w:history="1" w:anchor="county-view?list_select_state=all_states&amp;list_select_county=all_counties&amp;data-type=CommunityLevels&amp;null=CommunityLevels" r:id="rId9">
        <w:r w:rsidRPr="005D434A">
          <w:rPr>
            <w:rFonts w:asciiTheme="minorHAnsi" w:hAnsiTheme="minorHAnsi" w:cstheme="minorHAnsi"/>
            <w:color w:val="075290"/>
            <w:sz w:val="22"/>
            <w:szCs w:val="22"/>
            <w:u w:val="single"/>
          </w:rPr>
          <w:t>Community Levels</w:t>
        </w:r>
      </w:hyperlink>
      <w:r w:rsidRPr="005D434A">
        <w:rPr>
          <w:rFonts w:asciiTheme="minorHAnsi" w:hAnsiTheme="minorHAnsi" w:cstheme="minorHAnsi"/>
          <w:color w:val="000000"/>
          <w:sz w:val="22"/>
          <w:szCs w:val="22"/>
        </w:rPr>
        <w:t> are high, source control is recommended for everyone.”</w:t>
      </w:r>
      <w:r>
        <w:rPr>
          <w:rFonts w:asciiTheme="minorHAnsi" w:hAnsiTheme="minorHAnsi" w:cstheme="minorHAnsi"/>
          <w:color w:val="000000"/>
          <w:sz w:val="22"/>
          <w:szCs w:val="22"/>
          <w:vertAlign w:val="superscript"/>
        </w:rPr>
        <w:t>1</w:t>
      </w:r>
    </w:p>
    <w:p w:rsidR="007B65C4" w:rsidP="007B65C4" w:rsidRDefault="007B65C4" w14:paraId="4F30DF49" w14:textId="77777777">
      <w:pPr>
        <w:pStyle w:val="ListParagraph"/>
        <w:ind w:left="1440"/>
        <w:outlineLvl w:val="2"/>
        <w:rPr>
          <w:rFonts w:ascii="Calibri" w:hAnsi="Calibri" w:cs="Calibri"/>
          <w:sz w:val="22"/>
          <w:szCs w:val="22"/>
        </w:rPr>
      </w:pPr>
    </w:p>
    <w:p w:rsidR="007A45E1" w:rsidP="007B65C4" w:rsidRDefault="007B65C4" w14:paraId="1E6F67CC" w14:textId="0765A324">
      <w:pPr>
        <w:pStyle w:val="ListParagraph"/>
        <w:numPr>
          <w:ilvl w:val="0"/>
          <w:numId w:val="5"/>
        </w:numPr>
        <w:outlineLvl w:val="2"/>
        <w:rPr>
          <w:rFonts w:ascii="Calibri" w:hAnsi="Calibri" w:cs="Calibri"/>
          <w:sz w:val="22"/>
          <w:szCs w:val="22"/>
        </w:rPr>
      </w:pPr>
      <w:r>
        <w:rPr>
          <w:rFonts w:ascii="Calibri" w:hAnsi="Calibri" w:cs="Calibri"/>
          <w:sz w:val="22"/>
          <w:szCs w:val="22"/>
        </w:rPr>
        <w:t>When SARS-CoV-2 Community Transmission levels are not high, universal source control is not required unless:</w:t>
      </w:r>
    </w:p>
    <w:p w:rsidR="007B65C4" w:rsidP="007B65C4" w:rsidRDefault="007B65C4" w14:paraId="6A3F3560" w14:textId="1DB1AB57">
      <w:pPr>
        <w:pStyle w:val="ListParagraph"/>
        <w:numPr>
          <w:ilvl w:val="1"/>
          <w:numId w:val="5"/>
        </w:numPr>
        <w:outlineLvl w:val="2"/>
        <w:rPr>
          <w:rFonts w:ascii="Calibri" w:hAnsi="Calibri" w:cs="Calibri"/>
          <w:sz w:val="22"/>
          <w:szCs w:val="22"/>
        </w:rPr>
      </w:pPr>
      <w:r>
        <w:rPr>
          <w:rFonts w:ascii="Calibri" w:hAnsi="Calibri" w:cs="Calibri"/>
          <w:sz w:val="22"/>
          <w:szCs w:val="22"/>
        </w:rPr>
        <w:t>Individual has suspected or confirmed SARS-CoV-2 infection</w:t>
      </w:r>
    </w:p>
    <w:p w:rsidR="007B65C4" w:rsidP="007B65C4" w:rsidRDefault="007B65C4" w14:paraId="4406FB7A" w14:textId="43A9562E">
      <w:pPr>
        <w:pStyle w:val="ListParagraph"/>
        <w:numPr>
          <w:ilvl w:val="1"/>
          <w:numId w:val="5"/>
        </w:numPr>
        <w:outlineLvl w:val="2"/>
        <w:rPr>
          <w:rFonts w:ascii="Calibri" w:hAnsi="Calibri" w:cs="Calibri"/>
          <w:sz w:val="22"/>
          <w:szCs w:val="22"/>
        </w:rPr>
      </w:pPr>
      <w:r>
        <w:rPr>
          <w:rFonts w:ascii="Calibri" w:hAnsi="Calibri" w:cs="Calibri"/>
          <w:sz w:val="22"/>
          <w:szCs w:val="22"/>
        </w:rPr>
        <w:t xml:space="preserve">Individual has another respiratory infection with symptoms such as runny nose, </w:t>
      </w:r>
      <w:proofErr w:type="gramStart"/>
      <w:r>
        <w:rPr>
          <w:rFonts w:ascii="Calibri" w:hAnsi="Calibri" w:cs="Calibri"/>
          <w:sz w:val="22"/>
          <w:szCs w:val="22"/>
        </w:rPr>
        <w:t>cough</w:t>
      </w:r>
      <w:proofErr w:type="gramEnd"/>
      <w:r>
        <w:rPr>
          <w:rFonts w:ascii="Calibri" w:hAnsi="Calibri" w:cs="Calibri"/>
          <w:sz w:val="22"/>
          <w:szCs w:val="22"/>
        </w:rPr>
        <w:t xml:space="preserve"> or sneezing</w:t>
      </w:r>
    </w:p>
    <w:p w:rsidR="007B65C4" w:rsidP="007B65C4" w:rsidRDefault="007B65C4" w14:paraId="525C0876" w14:textId="3F9DD30A">
      <w:pPr>
        <w:pStyle w:val="ListParagraph"/>
        <w:numPr>
          <w:ilvl w:val="1"/>
          <w:numId w:val="5"/>
        </w:numPr>
        <w:outlineLvl w:val="2"/>
        <w:rPr>
          <w:rFonts w:ascii="Calibri" w:hAnsi="Calibri" w:cs="Calibri"/>
          <w:sz w:val="22"/>
          <w:szCs w:val="22"/>
        </w:rPr>
      </w:pPr>
      <w:r>
        <w:rPr>
          <w:rFonts w:ascii="Calibri" w:hAnsi="Calibri" w:cs="Calibri"/>
          <w:sz w:val="22"/>
          <w:szCs w:val="22"/>
        </w:rPr>
        <w:t>Resident or visitor has had close contact with someone with SARS-CoV-2 infection, for 10 days after their exposure</w:t>
      </w:r>
    </w:p>
    <w:p w:rsidR="007B65C4" w:rsidP="007B65C4" w:rsidRDefault="007B65C4" w14:paraId="26EFF907" w14:textId="25BAD587">
      <w:pPr>
        <w:pStyle w:val="ListParagraph"/>
        <w:numPr>
          <w:ilvl w:val="1"/>
          <w:numId w:val="5"/>
        </w:numPr>
        <w:outlineLvl w:val="2"/>
        <w:rPr>
          <w:rFonts w:ascii="Calibri" w:hAnsi="Calibri" w:cs="Calibri"/>
          <w:sz w:val="22"/>
          <w:szCs w:val="22"/>
        </w:rPr>
      </w:pPr>
      <w:r>
        <w:rPr>
          <w:rFonts w:ascii="Calibri" w:hAnsi="Calibri" w:cs="Calibri"/>
          <w:sz w:val="22"/>
          <w:szCs w:val="22"/>
        </w:rPr>
        <w:t>Employee has had a higher risk exposure with someone with SARS-CoV-2 infection, for 10 days after their exposure</w:t>
      </w:r>
    </w:p>
    <w:p w:rsidR="007B65C4" w:rsidP="007B65C4" w:rsidRDefault="007B65C4" w14:paraId="0B9E62DB" w14:textId="03C0753E">
      <w:pPr>
        <w:pStyle w:val="ListParagraph"/>
        <w:numPr>
          <w:ilvl w:val="1"/>
          <w:numId w:val="5"/>
        </w:numPr>
        <w:outlineLvl w:val="2"/>
        <w:rPr>
          <w:rFonts w:ascii="Calibri" w:hAnsi="Calibri" w:cs="Calibri"/>
          <w:sz w:val="22"/>
          <w:szCs w:val="22"/>
        </w:rPr>
      </w:pPr>
      <w:r>
        <w:rPr>
          <w:rFonts w:ascii="Calibri" w:hAnsi="Calibri" w:cs="Calibri"/>
          <w:sz w:val="22"/>
          <w:szCs w:val="22"/>
        </w:rPr>
        <w:t>Resident resides on a unit or area of the facility with a COVID-19 outbreak until no new cases have been identified for 14 days</w:t>
      </w:r>
    </w:p>
    <w:p w:rsidR="007B65C4" w:rsidP="007B65C4" w:rsidRDefault="007B65C4" w14:paraId="095E8EF6" w14:textId="61306090">
      <w:pPr>
        <w:pStyle w:val="ListParagraph"/>
        <w:numPr>
          <w:ilvl w:val="1"/>
          <w:numId w:val="5"/>
        </w:numPr>
        <w:outlineLvl w:val="2"/>
        <w:rPr>
          <w:rFonts w:ascii="Calibri" w:hAnsi="Calibri" w:cs="Calibri"/>
          <w:sz w:val="22"/>
          <w:szCs w:val="22"/>
        </w:rPr>
      </w:pPr>
      <w:r>
        <w:rPr>
          <w:rFonts w:ascii="Calibri" w:hAnsi="Calibri" w:cs="Calibri"/>
          <w:sz w:val="22"/>
          <w:szCs w:val="22"/>
        </w:rPr>
        <w:t>Employee works on a unit or area of the facility with a COVID-19 outbreak until no new cases have been identified for 14 days</w:t>
      </w:r>
    </w:p>
    <w:p w:rsidR="007B65C4" w:rsidP="007B65C4" w:rsidRDefault="007B65C4" w14:paraId="17F54EE7" w14:textId="20F2CC76">
      <w:pPr>
        <w:pStyle w:val="ListParagraph"/>
        <w:numPr>
          <w:ilvl w:val="1"/>
          <w:numId w:val="5"/>
        </w:numPr>
        <w:outlineLvl w:val="2"/>
        <w:rPr>
          <w:rFonts w:ascii="Calibri" w:hAnsi="Calibri" w:cs="Calibri"/>
          <w:sz w:val="22"/>
          <w:szCs w:val="22"/>
        </w:rPr>
      </w:pPr>
      <w:r>
        <w:rPr>
          <w:rFonts w:ascii="Calibri" w:hAnsi="Calibri" w:cs="Calibri"/>
          <w:sz w:val="22"/>
          <w:szCs w:val="22"/>
        </w:rPr>
        <w:t>Source control is recommended by State or local public health authorities</w:t>
      </w:r>
    </w:p>
    <w:p w:rsidR="007B65C4" w:rsidP="007B65C4" w:rsidRDefault="007B65C4" w14:paraId="1D9A95A6" w14:textId="77777777">
      <w:pPr>
        <w:pStyle w:val="ListParagraph"/>
        <w:ind w:left="1440"/>
        <w:outlineLvl w:val="2"/>
        <w:rPr>
          <w:rFonts w:ascii="Calibri" w:hAnsi="Calibri" w:cs="Calibri"/>
          <w:sz w:val="22"/>
          <w:szCs w:val="22"/>
        </w:rPr>
      </w:pPr>
    </w:p>
    <w:p w:rsidR="005D434A" w:rsidP="005D434A" w:rsidRDefault="007B65C4" w14:paraId="4243B764" w14:textId="2C82DF20">
      <w:pPr>
        <w:pStyle w:val="ListParagraph"/>
        <w:numPr>
          <w:ilvl w:val="0"/>
          <w:numId w:val="5"/>
        </w:numPr>
        <w:outlineLvl w:val="2"/>
        <w:rPr>
          <w:rFonts w:ascii="Calibri" w:hAnsi="Calibri" w:cs="Calibri"/>
          <w:sz w:val="22"/>
          <w:szCs w:val="22"/>
        </w:rPr>
      </w:pPr>
      <w:r>
        <w:rPr>
          <w:rFonts w:ascii="Calibri" w:hAnsi="Calibri" w:cs="Calibri"/>
          <w:sz w:val="22"/>
          <w:szCs w:val="22"/>
        </w:rPr>
        <w:t xml:space="preserve">Source control can still be worn for employee, </w:t>
      </w:r>
      <w:r w:rsidR="005D434A">
        <w:rPr>
          <w:rFonts w:ascii="Calibri" w:hAnsi="Calibri" w:cs="Calibri"/>
          <w:sz w:val="22"/>
          <w:szCs w:val="22"/>
        </w:rPr>
        <w:t>resident,</w:t>
      </w:r>
      <w:r>
        <w:rPr>
          <w:rFonts w:ascii="Calibri" w:hAnsi="Calibri" w:cs="Calibri"/>
          <w:sz w:val="22"/>
          <w:szCs w:val="22"/>
        </w:rPr>
        <w:t xml:space="preserve"> or visitor personal preference</w:t>
      </w:r>
    </w:p>
    <w:p w:rsidR="00DC2425" w:rsidP="00DC2425" w:rsidRDefault="00DC2425" w14:paraId="33B697AE" w14:textId="77777777">
      <w:pPr>
        <w:pStyle w:val="ListParagraph"/>
        <w:outlineLvl w:val="2"/>
        <w:rPr>
          <w:rFonts w:ascii="Calibri" w:hAnsi="Calibri" w:cs="Calibri"/>
          <w:sz w:val="22"/>
          <w:szCs w:val="22"/>
        </w:rPr>
      </w:pPr>
    </w:p>
    <w:p w:rsidR="00DC2425" w:rsidP="005D434A" w:rsidRDefault="00DC2425" w14:paraId="041EE691" w14:textId="63B8E0A0">
      <w:pPr>
        <w:pStyle w:val="ListParagraph"/>
        <w:numPr>
          <w:ilvl w:val="0"/>
          <w:numId w:val="5"/>
        </w:numPr>
        <w:outlineLvl w:val="2"/>
        <w:rPr>
          <w:rFonts w:ascii="Calibri" w:hAnsi="Calibri" w:cs="Calibri"/>
          <w:sz w:val="22"/>
          <w:szCs w:val="22"/>
        </w:rPr>
      </w:pPr>
      <w:r>
        <w:rPr>
          <w:rFonts w:ascii="Calibri" w:hAnsi="Calibri" w:cs="Calibri"/>
          <w:sz w:val="22"/>
          <w:szCs w:val="22"/>
        </w:rPr>
        <w:t>Residents on transmission-based precautions should wear a well-fitting facemask for source control when out of the resident room for medically necessary reasons or for resident transfer outside of the facility, unless not tolerated</w:t>
      </w:r>
    </w:p>
    <w:p w:rsidR="00EA1C70" w:rsidP="00EA1C70" w:rsidRDefault="00EA1C70" w14:paraId="58A1B138" w14:textId="77777777">
      <w:pPr>
        <w:pStyle w:val="ListParagraph"/>
        <w:outlineLvl w:val="2"/>
        <w:rPr>
          <w:rFonts w:ascii="Calibri" w:hAnsi="Calibri" w:cs="Calibri"/>
          <w:sz w:val="22"/>
          <w:szCs w:val="22"/>
        </w:rPr>
      </w:pPr>
    </w:p>
    <w:p w:rsidRPr="00EA1C70" w:rsidR="00EA1C70" w:rsidP="00EA1C70" w:rsidRDefault="00EA1C70" w14:paraId="0CACDC2F" w14:textId="4862B586">
      <w:pPr>
        <w:pStyle w:val="ListParagraph"/>
        <w:numPr>
          <w:ilvl w:val="0"/>
          <w:numId w:val="5"/>
        </w:numPr>
        <w:outlineLvl w:val="2"/>
        <w:rPr>
          <w:rFonts w:ascii="Calibri" w:hAnsi="Calibri" w:cs="Calibri"/>
          <w:sz w:val="22"/>
          <w:szCs w:val="22"/>
        </w:rPr>
      </w:pPr>
      <w:r>
        <w:rPr>
          <w:rFonts w:ascii="Calibri" w:hAnsi="Calibri" w:cs="Calibri"/>
          <w:sz w:val="22"/>
          <w:szCs w:val="22"/>
        </w:rPr>
        <w:t>Residents that are unable to wear a mask (i.e., disability, medical condition, etc.), should practice physical distancing from others during large gatherings</w:t>
      </w:r>
    </w:p>
    <w:p w:rsidR="00EA1C70" w:rsidP="00EA1C70" w:rsidRDefault="00EA1C70" w14:paraId="6AEFCD88" w14:textId="36CF0AA2">
      <w:pPr>
        <w:pStyle w:val="ListParagraph"/>
        <w:numPr>
          <w:ilvl w:val="1"/>
          <w:numId w:val="5"/>
        </w:numPr>
        <w:outlineLvl w:val="2"/>
        <w:rPr>
          <w:rFonts w:ascii="Calibri" w:hAnsi="Calibri" w:cs="Calibri"/>
          <w:sz w:val="22"/>
          <w:szCs w:val="22"/>
        </w:rPr>
      </w:pPr>
      <w:r>
        <w:rPr>
          <w:rFonts w:ascii="Calibri" w:hAnsi="Calibri" w:cs="Calibri"/>
          <w:sz w:val="22"/>
          <w:szCs w:val="22"/>
        </w:rPr>
        <w:t>If resident is unable to wear a mask and staff cannot prevent close contact with others, it is recommended that resident not attend large gatherings</w:t>
      </w:r>
    </w:p>
    <w:p w:rsidRPr="005D434A" w:rsidR="00EA1C70" w:rsidP="00EA1C70" w:rsidRDefault="00EA1C70" w14:paraId="3FD7AA0A" w14:textId="744BE868">
      <w:pPr>
        <w:pStyle w:val="ListParagraph"/>
        <w:numPr>
          <w:ilvl w:val="2"/>
          <w:numId w:val="5"/>
        </w:numPr>
        <w:outlineLvl w:val="2"/>
        <w:rPr>
          <w:rFonts w:ascii="Calibri" w:hAnsi="Calibri" w:cs="Calibri"/>
          <w:sz w:val="22"/>
          <w:szCs w:val="22"/>
        </w:rPr>
      </w:pPr>
      <w:r w:rsidRPr="54D42735" w:rsidR="54D42735">
        <w:rPr>
          <w:rFonts w:ascii="Calibri" w:hAnsi="Calibri" w:cs="Calibri"/>
          <w:sz w:val="22"/>
          <w:szCs w:val="22"/>
        </w:rPr>
        <w:t>If resident refuses to wear a mask and physically distance from others when there is a large gathering, educate resident on the benefits of source control and physically distancing, hand hygiene, cough etiquette, other core principles of infection prevention and risk of refusal and document education and resident response in the medical record.  Staff to provide reminders for adherence.</w:t>
      </w:r>
    </w:p>
    <w:p w:rsidR="007B65C4" w:rsidP="007B65C4" w:rsidRDefault="007B65C4" w14:paraId="169B5BF7" w14:textId="77777777">
      <w:pPr>
        <w:pStyle w:val="ListParagraph"/>
        <w:outlineLvl w:val="2"/>
        <w:rPr>
          <w:rFonts w:ascii="Calibri" w:hAnsi="Calibri" w:cs="Calibri"/>
          <w:sz w:val="22"/>
          <w:szCs w:val="22"/>
        </w:rPr>
      </w:pPr>
    </w:p>
    <w:p w:rsidR="007B65C4" w:rsidP="007B65C4" w:rsidRDefault="007B65C4" w14:paraId="33BCFAB1" w14:textId="5328F85C">
      <w:pPr>
        <w:pStyle w:val="ListParagraph"/>
        <w:numPr>
          <w:ilvl w:val="0"/>
          <w:numId w:val="5"/>
        </w:numPr>
        <w:outlineLvl w:val="2"/>
        <w:rPr>
          <w:rFonts w:ascii="Calibri" w:hAnsi="Calibri" w:cs="Calibri"/>
          <w:sz w:val="22"/>
          <w:szCs w:val="22"/>
        </w:rPr>
      </w:pPr>
      <w:r>
        <w:rPr>
          <w:rFonts w:ascii="Calibri" w:hAnsi="Calibri" w:cs="Calibri"/>
          <w:sz w:val="22"/>
          <w:szCs w:val="22"/>
        </w:rPr>
        <w:t>Source control for employees is recommended when caring for a resident who is moderately to severely immunocompromised.</w:t>
      </w:r>
    </w:p>
    <w:p w:rsidRPr="007B65C4" w:rsidR="007B65C4" w:rsidP="007B65C4" w:rsidRDefault="007B65C4" w14:paraId="7D972436" w14:textId="77777777">
      <w:pPr>
        <w:pStyle w:val="ListParagraph"/>
        <w:rPr>
          <w:rFonts w:ascii="Calibri" w:hAnsi="Calibri" w:cs="Calibri"/>
          <w:sz w:val="22"/>
          <w:szCs w:val="22"/>
        </w:rPr>
      </w:pPr>
    </w:p>
    <w:p w:rsidR="007B65C4" w:rsidP="007B65C4" w:rsidRDefault="007B65C4" w14:paraId="65CCD1BD" w14:textId="05C64257">
      <w:pPr>
        <w:pStyle w:val="ListParagraph"/>
        <w:numPr>
          <w:ilvl w:val="0"/>
          <w:numId w:val="5"/>
        </w:numPr>
        <w:outlineLvl w:val="2"/>
        <w:rPr>
          <w:rFonts w:ascii="Calibri" w:hAnsi="Calibri" w:cs="Calibri"/>
          <w:sz w:val="22"/>
          <w:szCs w:val="22"/>
        </w:rPr>
      </w:pPr>
      <w:r>
        <w:rPr>
          <w:rFonts w:ascii="Calibri" w:hAnsi="Calibri" w:cs="Calibri"/>
          <w:sz w:val="22"/>
          <w:szCs w:val="22"/>
        </w:rPr>
        <w:t>Well-fitting facemasks may be offered to visitors.</w:t>
      </w:r>
    </w:p>
    <w:p w:rsidRPr="007B65C4" w:rsidR="007B65C4" w:rsidP="007B65C4" w:rsidRDefault="007B65C4" w14:paraId="68C1F5FB" w14:textId="77777777">
      <w:pPr>
        <w:pStyle w:val="ListParagraph"/>
        <w:rPr>
          <w:rFonts w:ascii="Calibri" w:hAnsi="Calibri" w:cs="Calibri"/>
          <w:sz w:val="22"/>
          <w:szCs w:val="22"/>
        </w:rPr>
      </w:pPr>
    </w:p>
    <w:p w:rsidRPr="007B65C4" w:rsidR="007B65C4" w:rsidP="007B65C4" w:rsidRDefault="007B65C4" w14:paraId="21EBA913" w14:textId="49A8C61C">
      <w:pPr>
        <w:pStyle w:val="ListParagraph"/>
        <w:numPr>
          <w:ilvl w:val="1"/>
          <w:numId w:val="5"/>
        </w:numPr>
        <w:outlineLvl w:val="2"/>
        <w:rPr>
          <w:rFonts w:ascii="Calibri" w:hAnsi="Calibri" w:cs="Calibri"/>
          <w:sz w:val="22"/>
          <w:szCs w:val="22"/>
        </w:rPr>
      </w:pPr>
      <w:r>
        <w:rPr>
          <w:rFonts w:ascii="Calibri" w:hAnsi="Calibri" w:cs="Calibri"/>
          <w:sz w:val="22"/>
          <w:szCs w:val="22"/>
        </w:rPr>
        <w:t>Visitors</w:t>
      </w:r>
      <w:r w:rsidR="005D434A">
        <w:rPr>
          <w:rFonts w:ascii="Calibri" w:hAnsi="Calibri" w:cs="Calibri"/>
          <w:sz w:val="22"/>
          <w:szCs w:val="22"/>
        </w:rPr>
        <w:t xml:space="preserve"> may use own mask or respirator with higher-level of protection that is not visibly soiled based on individual preference</w:t>
      </w:r>
    </w:p>
    <w:p w:rsidR="007A45E1" w:rsidP="00EE219D" w:rsidRDefault="007A45E1" w14:paraId="63E6F8CD" w14:textId="77777777">
      <w:pPr>
        <w:outlineLvl w:val="2"/>
        <w:rPr>
          <w:rFonts w:ascii="Calibri" w:hAnsi="Calibri" w:cs="Calibri"/>
          <w:sz w:val="22"/>
          <w:szCs w:val="22"/>
        </w:rPr>
      </w:pPr>
    </w:p>
    <w:p w:rsidRPr="005D434A" w:rsidR="00383C64" w:rsidP="005D434A" w:rsidRDefault="005D434A" w14:paraId="2B01A332" w14:textId="22328557">
      <w:pPr>
        <w:pStyle w:val="ListParagraph"/>
        <w:numPr>
          <w:ilvl w:val="0"/>
          <w:numId w:val="5"/>
        </w:numPr>
        <w:outlineLvl w:val="2"/>
        <w:rPr>
          <w:rFonts w:ascii="Calibri" w:hAnsi="Calibri" w:cs="Calibri"/>
          <w:sz w:val="22"/>
          <w:szCs w:val="22"/>
        </w:rPr>
      </w:pPr>
      <w:r>
        <w:rPr>
          <w:rFonts w:ascii="Calibri" w:hAnsi="Calibri" w:cs="Calibri"/>
          <w:sz w:val="22"/>
          <w:szCs w:val="22"/>
        </w:rPr>
        <w:t>Source control (if tolerated) and physical distancing should be implemented for indoor visitation during an outbreak response for the resident and their visitor(s).</w:t>
      </w:r>
    </w:p>
    <w:p w:rsidRPr="00227FC1" w:rsidR="00EE219D" w:rsidP="00EE219D" w:rsidRDefault="00EE219D" w14:paraId="78AD2800" w14:textId="29BD6C05">
      <w:pPr>
        <w:outlineLvl w:val="2"/>
        <w:rPr>
          <w:rFonts w:ascii="Calibri" w:hAnsi="Calibri" w:cs="Calibri"/>
          <w:sz w:val="22"/>
          <w:szCs w:val="22"/>
        </w:rPr>
      </w:pPr>
    </w:p>
    <w:p w:rsidR="00831DF5" w:rsidP="005D434A" w:rsidRDefault="00831DF5" w14:paraId="1D6243ED" w14:textId="77777777">
      <w:pPr>
        <w:pStyle w:val="NoSpacing"/>
        <w:rPr>
          <w:rFonts w:ascii="Calibri" w:hAnsi="Calibri" w:cs="Calibri"/>
          <w:b/>
          <w:bCs/>
        </w:rPr>
      </w:pPr>
    </w:p>
    <w:p w:rsidR="005D434A" w:rsidP="005D434A" w:rsidRDefault="005D434A" w14:paraId="251D7659" w14:textId="3B8CA352">
      <w:pPr>
        <w:pStyle w:val="NoSpacing"/>
        <w:rPr>
          <w:rFonts w:ascii="Calibri" w:hAnsi="Calibri" w:cs="Calibri"/>
          <w:b/>
          <w:bCs/>
        </w:rPr>
      </w:pPr>
      <w:r w:rsidRPr="00C25986">
        <w:rPr>
          <w:rFonts w:ascii="Calibri" w:hAnsi="Calibri" w:cs="Calibri"/>
          <w:b/>
          <w:bCs/>
        </w:rPr>
        <w:t>References</w:t>
      </w:r>
      <w:r>
        <w:rPr>
          <w:rFonts w:ascii="Calibri" w:hAnsi="Calibri" w:cs="Calibri"/>
          <w:b/>
          <w:bCs/>
        </w:rPr>
        <w:t xml:space="preserve"> and Resources</w:t>
      </w:r>
    </w:p>
    <w:p w:rsidR="005D434A" w:rsidP="005D434A" w:rsidRDefault="005D434A" w14:paraId="7651EC00" w14:textId="77777777">
      <w:pPr>
        <w:pStyle w:val="NoSpacing"/>
        <w:rPr>
          <w:rFonts w:ascii="Calibri" w:hAnsi="Calibri" w:cs="Calibri"/>
          <w:b/>
          <w:bCs/>
        </w:rPr>
      </w:pPr>
    </w:p>
    <w:p w:rsidR="005D434A" w:rsidP="005D434A" w:rsidRDefault="005D434A" w14:paraId="3FD7BAA1" w14:textId="77777777">
      <w:pPr>
        <w:pStyle w:val="NoSpacing"/>
        <w:rPr>
          <w:rStyle w:val="Hyperlink"/>
        </w:rPr>
      </w:pPr>
      <w:r>
        <w:rPr>
          <w:rFonts w:ascii="Calibri" w:hAnsi="Calibri" w:cs="Calibri"/>
          <w:vertAlign w:val="superscript"/>
        </w:rPr>
        <w:t>1</w:t>
      </w:r>
      <w:r w:rsidRPr="00CE00A0">
        <w:t xml:space="preserve"> </w:t>
      </w:r>
      <w:r>
        <w:t xml:space="preserve">Centers for Disease Control and Prevention.  Interim Infection Prevention and Control Recommendations for Healthcare Personnel During the Coronavirus Disease 2019 (COVID-19) Pandemic), Updated Sept. 23, 2022:  </w:t>
      </w:r>
      <w:hyperlink w:history="1" r:id="rId10">
        <w:r w:rsidRPr="00B11F35">
          <w:rPr>
            <w:rStyle w:val="Hyperlink"/>
          </w:rPr>
          <w:t>https://www.cdc.gov/coronavirus/2019-ncov/hcp/infection-control-recommendations.html</w:t>
        </w:r>
      </w:hyperlink>
      <w:r>
        <w:t xml:space="preserve">  </w:t>
      </w:r>
    </w:p>
    <w:p w:rsidRPr="00CE00A0" w:rsidR="005D434A" w:rsidP="005D434A" w:rsidRDefault="005D434A" w14:paraId="521F8B6D" w14:textId="77777777">
      <w:pPr>
        <w:pStyle w:val="NoSpacing"/>
        <w:rPr>
          <w:rFonts w:ascii="Calibri" w:hAnsi="Calibri" w:cs="Calibri"/>
        </w:rPr>
      </w:pPr>
    </w:p>
    <w:p w:rsidRPr="00D54254" w:rsidR="005D434A" w:rsidP="005D434A" w:rsidRDefault="005D434A" w14:paraId="1F34C5BE" w14:textId="54EE3954">
      <w:pPr>
        <w:pStyle w:val="NoSpacing"/>
        <w:rPr>
          <w:rFonts w:ascii="Calibri" w:hAnsi="Calibri" w:cs="Calibri"/>
          <w:b/>
          <w:bCs/>
        </w:rPr>
      </w:pPr>
      <w:r>
        <w:t xml:space="preserve">Centers for Disease Control and Prevention.  CDC Streamlines COVID-19 guidance to help the public better protect themselves and understand their risk.  August 11, 2022:  </w:t>
      </w:r>
      <w:hyperlink w:history="1" r:id="rId11">
        <w:r w:rsidRPr="008F563D">
          <w:rPr>
            <w:rStyle w:val="Hyperlink"/>
          </w:rPr>
          <w:t>https://www.cdc.gov/media/releases/2022/p0811-covid-guidance.html</w:t>
        </w:r>
      </w:hyperlink>
      <w:r>
        <w:t xml:space="preserve"> </w:t>
      </w:r>
    </w:p>
    <w:p w:rsidR="005D434A" w:rsidP="005D434A" w:rsidRDefault="005D434A" w14:paraId="4692C824" w14:textId="77777777">
      <w:pPr>
        <w:pStyle w:val="NoSpacing"/>
        <w:rPr>
          <w:rFonts w:ascii="Calibri" w:hAnsi="Calibri" w:cs="Calibri"/>
          <w:b/>
          <w:bCs/>
        </w:rPr>
      </w:pPr>
    </w:p>
    <w:p w:rsidRPr="001A42C9" w:rsidR="005D434A" w:rsidP="005D434A" w:rsidRDefault="005D434A" w14:paraId="0814D6D0" w14:textId="521A3FA7">
      <w:pPr>
        <w:pStyle w:val="NoSpacing"/>
        <w:rPr>
          <w:rFonts w:ascii="Calibri" w:hAnsi="Calibri" w:cs="Calibri"/>
        </w:rPr>
      </w:pPr>
      <w:r>
        <w:rPr>
          <w:rFonts w:ascii="Calibri" w:hAnsi="Calibri" w:cs="Calibri"/>
        </w:rPr>
        <w:t xml:space="preserve">Centers for Medicare &amp; Medicaid Services.  QSO-20-39-NH, Nursing Home Visitation – COVID-19 (REVISED), 09/23/2022:  </w:t>
      </w:r>
      <w:hyperlink w:history="1" r:id="rId12">
        <w:r w:rsidRPr="008F563D">
          <w:rPr>
            <w:rStyle w:val="Hyperlink"/>
            <w:rFonts w:ascii="Calibri" w:hAnsi="Calibri" w:cs="Calibri"/>
          </w:rPr>
          <w:t>https://www.cms.gov/files/document/qso-20-39-nh-revised.pdf</w:t>
        </w:r>
      </w:hyperlink>
      <w:r>
        <w:rPr>
          <w:rFonts w:ascii="Calibri" w:hAnsi="Calibri" w:cs="Calibri"/>
        </w:rPr>
        <w:t xml:space="preserve"> </w:t>
      </w:r>
    </w:p>
    <w:p w:rsidRPr="00C25986" w:rsidR="005D434A" w:rsidP="005D434A" w:rsidRDefault="005D434A" w14:paraId="228192DA" w14:textId="77777777">
      <w:pPr>
        <w:pStyle w:val="Heading1"/>
        <w:shd w:val="clear" w:color="auto" w:fill="FFFFFF"/>
        <w:rPr>
          <w:rFonts w:ascii="Calibri" w:hAnsi="Calibri" w:cs="Calibri"/>
          <w:b w:val="0"/>
          <w:bCs w:val="0"/>
          <w:color w:val="000000"/>
          <w:sz w:val="22"/>
          <w:szCs w:val="22"/>
        </w:rPr>
      </w:pPr>
      <w:r w:rsidRPr="00C25986">
        <w:rPr>
          <w:rFonts w:ascii="Calibri" w:hAnsi="Calibri" w:cs="Calibri"/>
          <w:b w:val="0"/>
          <w:bCs w:val="0"/>
          <w:sz w:val="22"/>
          <w:szCs w:val="22"/>
        </w:rPr>
        <w:t xml:space="preserve">Centers for Disease Control and Prevention.  </w:t>
      </w:r>
      <w:r w:rsidRPr="00C25986">
        <w:rPr>
          <w:rFonts w:ascii="Calibri" w:hAnsi="Calibri" w:cs="Calibri"/>
          <w:b w:val="0"/>
          <w:bCs w:val="0"/>
          <w:color w:val="000000"/>
          <w:sz w:val="22"/>
          <w:szCs w:val="22"/>
        </w:rPr>
        <w:t xml:space="preserve">Strategies for Optimizing the Supply of Facemasks.  </w:t>
      </w:r>
      <w:hyperlink w:history="1" r:id="rId13">
        <w:r w:rsidRPr="00C25986">
          <w:rPr>
            <w:rStyle w:val="Hyperlink"/>
            <w:rFonts w:ascii="Calibri" w:hAnsi="Calibri" w:cs="Calibri"/>
            <w:b w:val="0"/>
            <w:bCs w:val="0"/>
            <w:sz w:val="22"/>
            <w:szCs w:val="22"/>
          </w:rPr>
          <w:t>https://www.cdc.gov/coronavirus/2019-ncov/hcp/ppe-strategy/face-masks.html</w:t>
        </w:r>
      </w:hyperlink>
      <w:r w:rsidRPr="00C25986">
        <w:rPr>
          <w:rFonts w:ascii="Calibri" w:hAnsi="Calibri" w:cs="Calibri"/>
          <w:b w:val="0"/>
          <w:bCs w:val="0"/>
          <w:color w:val="000000"/>
          <w:sz w:val="22"/>
          <w:szCs w:val="22"/>
        </w:rPr>
        <w:t xml:space="preserve"> </w:t>
      </w:r>
    </w:p>
    <w:p w:rsidR="00DC2425" w:rsidP="00DC2425" w:rsidRDefault="00DC2425" w14:paraId="755B54A6" w14:textId="77777777">
      <w:pPr>
        <w:spacing w:after="160" w:line="259" w:lineRule="auto"/>
        <w:rPr>
          <w:rStyle w:val="Hyperlink"/>
          <w:rFonts w:asciiTheme="minorHAnsi" w:hAnsiTheme="minorHAnsi" w:cstheme="minorHAnsi"/>
        </w:rPr>
      </w:pPr>
      <w:r w:rsidRPr="000073AD">
        <w:rPr>
          <w:rFonts w:eastAsia="MS Mincho" w:asciiTheme="minorHAnsi" w:hAnsiTheme="minorHAnsi" w:cstheme="minorHAnsi"/>
        </w:rPr>
        <w:t>Centers for Medicare &amp; Medicaid Services</w:t>
      </w:r>
      <w:r>
        <w:rPr>
          <w:rFonts w:eastAsia="MS Mincho" w:asciiTheme="minorHAnsi" w:hAnsiTheme="minorHAnsi" w:cstheme="minorHAnsi"/>
        </w:rPr>
        <w:t xml:space="preserve">. </w:t>
      </w:r>
      <w:r w:rsidRPr="000073AD">
        <w:rPr>
          <w:rFonts w:eastAsia="MS Mincho" w:asciiTheme="minorHAnsi" w:hAnsiTheme="minorHAnsi" w:cstheme="minorHAnsi"/>
        </w:rPr>
        <w:t xml:space="preserve"> State Operations Manual, Appendix PP – Guidance to Surveyors for Long Term Care Facilities (Rev. 173, 11-22-17) Advance Copy, 2022:  </w:t>
      </w:r>
      <w:hyperlink w:history="1" r:id="rId14">
        <w:r w:rsidRPr="000073AD">
          <w:rPr>
            <w:rStyle w:val="Hyperlink"/>
            <w:rFonts w:asciiTheme="minorHAnsi" w:hAnsiTheme="minorHAnsi" w:cstheme="minorHAnsi"/>
          </w:rPr>
          <w:t>https://www.cms.gov/files/docuent/appendix-pp-guidance-surveyor-long-term-care-facilities.pdf</w:t>
        </w:r>
      </w:hyperlink>
    </w:p>
    <w:p w:rsidRPr="00DC41D9" w:rsidR="00227FC1" w:rsidRDefault="00DC2425" w14:paraId="13646839" w14:textId="5B096844">
      <w:pPr>
        <w:spacing w:after="160" w:line="259" w:lineRule="auto"/>
        <w:rPr>
          <w:rFonts w:ascii="Calibri" w:hAnsi="Calibri" w:cs="Calibri"/>
          <w:sz w:val="22"/>
          <w:szCs w:val="22"/>
        </w:rPr>
      </w:pPr>
      <w:r w:rsidRPr="000073AD">
        <w:rPr>
          <w:rFonts w:eastAsia="MS Mincho" w:asciiTheme="minorHAnsi" w:hAnsiTheme="minorHAnsi" w:cstheme="minorHAnsi"/>
        </w:rPr>
        <w:t>Centers for Medicare &amp; Medicaid Services</w:t>
      </w:r>
      <w:r>
        <w:rPr>
          <w:rFonts w:eastAsia="MS Mincho" w:asciiTheme="minorHAnsi" w:hAnsiTheme="minorHAnsi" w:cstheme="minorHAnsi"/>
        </w:rPr>
        <w:t xml:space="preserve">.  Infection Prevention, Control &amp; Immunizations Critical Element Pathway, CMS-20054 (10/26/2022):  </w:t>
      </w:r>
      <w:r>
        <w:rPr>
          <w:rFonts w:ascii="Arial" w:hAnsi="Arial" w:cs="Arial"/>
          <w:b/>
        </w:rPr>
        <w:t xml:space="preserve"> </w:t>
      </w:r>
      <w:hyperlink w:history="1" r:id="rId15">
        <w:r w:rsidRPr="000073AD">
          <w:rPr>
            <w:rStyle w:val="Hyperlink"/>
            <w:rFonts w:asciiTheme="minorHAnsi" w:hAnsiTheme="minorHAnsi" w:cstheme="minorHAnsi"/>
            <w:bCs/>
          </w:rPr>
          <w:t>https://www.cms.gov/medicare/provider-enrollment-and-certification/guidanceforlawsandregulations/nursing-homes</w:t>
        </w:r>
      </w:hyperlink>
      <w:r>
        <w:rPr>
          <w:rFonts w:ascii="Arial" w:hAnsi="Arial" w:cs="Arial"/>
          <w:b/>
        </w:rPr>
        <w:t xml:space="preserve"> </w:t>
      </w:r>
      <w:r w:rsidRPr="000073AD">
        <w:rPr>
          <w:rFonts w:ascii="Arial" w:hAnsi="Arial" w:cs="Arial"/>
          <w:b/>
        </w:rPr>
        <w:t xml:space="preserve"> </w:t>
      </w:r>
      <w:r w:rsidR="00227FC1">
        <w:rPr>
          <w:rFonts w:ascii="Calibri" w:hAnsi="Calibri" w:cs="Calibri"/>
          <w:b/>
          <w:bCs/>
          <w:sz w:val="22"/>
          <w:szCs w:val="22"/>
        </w:rPr>
        <w:br w:type="page"/>
      </w:r>
    </w:p>
    <w:p w:rsidRPr="00227FC1" w:rsidR="00383C64" w:rsidP="00383C64" w:rsidRDefault="00383C64" w14:paraId="076213DE" w14:textId="470E872B">
      <w:pPr>
        <w:jc w:val="center"/>
        <w:rPr>
          <w:rFonts w:ascii="Calibri" w:hAnsi="Calibri" w:cs="Calibri"/>
          <w:b/>
          <w:bCs/>
          <w:sz w:val="28"/>
          <w:szCs w:val="28"/>
        </w:rPr>
      </w:pPr>
      <w:r w:rsidRPr="00227FC1">
        <w:rPr>
          <w:rFonts w:ascii="Calibri" w:hAnsi="Calibri" w:cs="Calibri"/>
          <w:b/>
          <w:bCs/>
          <w:sz w:val="28"/>
          <w:szCs w:val="28"/>
        </w:rPr>
        <w:lastRenderedPageBreak/>
        <w:t>Sample Policy and Procedure</w:t>
      </w:r>
    </w:p>
    <w:p w:rsidRPr="00227FC1" w:rsidR="00383C64" w:rsidP="00383C64" w:rsidRDefault="00383C64" w14:paraId="58A0E139" w14:textId="5408D856">
      <w:pPr>
        <w:jc w:val="center"/>
        <w:rPr>
          <w:rFonts w:ascii="Calibri" w:hAnsi="Calibri" w:cs="Calibri"/>
          <w:b/>
          <w:color w:val="000000"/>
          <w:sz w:val="28"/>
          <w:szCs w:val="28"/>
        </w:rPr>
      </w:pPr>
      <w:r w:rsidRPr="00227FC1">
        <w:rPr>
          <w:rFonts w:ascii="Calibri" w:hAnsi="Calibri" w:cs="Calibri"/>
          <w:b/>
          <w:color w:val="000000"/>
          <w:sz w:val="28"/>
          <w:szCs w:val="28"/>
        </w:rPr>
        <w:t xml:space="preserve">Physical Distancing </w:t>
      </w:r>
    </w:p>
    <w:p w:rsidRPr="00227FC1" w:rsidR="00383C64" w:rsidP="00383C64" w:rsidRDefault="00383C64" w14:paraId="2EED1CAD" w14:textId="77777777">
      <w:pPr>
        <w:rPr>
          <w:rFonts w:ascii="Calibri" w:hAnsi="Calibri" w:cs="Calibri"/>
          <w:b/>
          <w:color w:val="000000"/>
          <w:sz w:val="22"/>
          <w:szCs w:val="22"/>
        </w:rPr>
      </w:pPr>
    </w:p>
    <w:p w:rsidRPr="00227FC1" w:rsidR="00383C64" w:rsidP="00383C64" w:rsidRDefault="00383C64" w14:paraId="5971F1F0" w14:textId="77777777">
      <w:pPr>
        <w:keepNext/>
        <w:tabs>
          <w:tab w:val="left" w:pos="2250"/>
          <w:tab w:val="left" w:pos="2790"/>
        </w:tabs>
        <w:outlineLvl w:val="2"/>
        <w:rPr>
          <w:rFonts w:ascii="Calibri" w:hAnsi="Calibri" w:cs="Calibri"/>
          <w:b/>
          <w:color w:val="000000"/>
          <w:sz w:val="22"/>
          <w:szCs w:val="22"/>
        </w:rPr>
      </w:pPr>
      <w:r w:rsidRPr="00227FC1">
        <w:rPr>
          <w:rFonts w:ascii="Calibri" w:hAnsi="Calibri" w:cs="Calibri"/>
          <w:b/>
          <w:color w:val="000000"/>
          <w:sz w:val="22"/>
          <w:szCs w:val="22"/>
        </w:rPr>
        <w:t>Background</w:t>
      </w:r>
    </w:p>
    <w:p w:rsidRPr="00227FC1" w:rsidR="00383C64" w:rsidP="00383C64" w:rsidRDefault="00383C64" w14:paraId="035B5CE8" w14:textId="77777777">
      <w:pPr>
        <w:keepNext/>
        <w:tabs>
          <w:tab w:val="left" w:pos="2250"/>
          <w:tab w:val="left" w:pos="2790"/>
        </w:tabs>
        <w:outlineLvl w:val="2"/>
        <w:rPr>
          <w:rFonts w:ascii="Calibri" w:hAnsi="Calibri" w:cs="Calibri"/>
          <w:b/>
          <w:color w:val="000000"/>
          <w:sz w:val="22"/>
          <w:szCs w:val="22"/>
        </w:rPr>
      </w:pPr>
    </w:p>
    <w:p w:rsidRPr="00227FC1" w:rsidR="00383C64" w:rsidP="00383C64" w:rsidRDefault="00383C64" w14:paraId="6307E627" w14:textId="1B294400">
      <w:pPr>
        <w:keepNext/>
        <w:tabs>
          <w:tab w:val="left" w:pos="2250"/>
          <w:tab w:val="left" w:pos="2790"/>
        </w:tabs>
        <w:outlineLvl w:val="2"/>
        <w:rPr>
          <w:rFonts w:ascii="Calibri" w:hAnsi="Calibri" w:cs="Calibri"/>
          <w:sz w:val="22"/>
          <w:szCs w:val="22"/>
        </w:rPr>
      </w:pPr>
      <w:r w:rsidRPr="00227FC1">
        <w:rPr>
          <w:rFonts w:ascii="Calibri" w:hAnsi="Calibri" w:cs="Calibri"/>
          <w:sz w:val="22"/>
          <w:szCs w:val="22"/>
        </w:rPr>
        <w:t xml:space="preserve">The Centers for Disease Control and Prevention (CDC) and the Centers for Medicare and Medicaid Services (CMS) have provided guidance to reduce the risk of COVID- 19 outbreaks, including the implementation of </w:t>
      </w:r>
      <w:r w:rsidR="005D434A">
        <w:rPr>
          <w:rFonts w:ascii="Calibri" w:hAnsi="Calibri" w:cs="Calibri"/>
          <w:sz w:val="22"/>
          <w:szCs w:val="22"/>
        </w:rPr>
        <w:t>physical</w:t>
      </w:r>
      <w:r w:rsidRPr="00227FC1">
        <w:rPr>
          <w:rFonts w:ascii="Calibri" w:hAnsi="Calibri" w:cs="Calibri"/>
          <w:sz w:val="22"/>
          <w:szCs w:val="22"/>
        </w:rPr>
        <w:t xml:space="preserve"> distancing, </w:t>
      </w:r>
      <w:r w:rsidR="005D434A">
        <w:rPr>
          <w:rFonts w:ascii="Calibri" w:hAnsi="Calibri" w:cs="Calibri"/>
          <w:sz w:val="22"/>
          <w:szCs w:val="22"/>
        </w:rPr>
        <w:t>with large gatherings</w:t>
      </w:r>
      <w:r w:rsidR="00EA1C70">
        <w:rPr>
          <w:rFonts w:ascii="Calibri" w:hAnsi="Calibri" w:cs="Calibri"/>
          <w:sz w:val="22"/>
          <w:szCs w:val="22"/>
        </w:rPr>
        <w:t xml:space="preserve"> and with visitation during an outbreak investigation, </w:t>
      </w:r>
      <w:r w:rsidRPr="00227FC1">
        <w:rPr>
          <w:rFonts w:ascii="Calibri" w:hAnsi="Calibri" w:cs="Calibri"/>
          <w:sz w:val="22"/>
          <w:szCs w:val="22"/>
        </w:rPr>
        <w:t xml:space="preserve">which is a core prevention strategy for COVID-19 transmission.  </w:t>
      </w:r>
    </w:p>
    <w:p w:rsidRPr="00227FC1" w:rsidR="00383C64" w:rsidP="00383C64" w:rsidRDefault="00383C64" w14:paraId="41155703" w14:textId="47E2B5C2">
      <w:pPr>
        <w:keepNext/>
        <w:tabs>
          <w:tab w:val="left" w:pos="2250"/>
          <w:tab w:val="left" w:pos="2790"/>
        </w:tabs>
        <w:outlineLvl w:val="2"/>
        <w:rPr>
          <w:rFonts w:ascii="Calibri" w:hAnsi="Calibri" w:cs="Calibri"/>
          <w:b/>
          <w:color w:val="000000"/>
          <w:sz w:val="22"/>
          <w:szCs w:val="22"/>
        </w:rPr>
      </w:pPr>
    </w:p>
    <w:p w:rsidRPr="00227FC1" w:rsidR="00571175" w:rsidP="00383C64" w:rsidRDefault="00571175" w14:paraId="5F63AC91" w14:textId="72603FF1">
      <w:pPr>
        <w:keepNext/>
        <w:tabs>
          <w:tab w:val="left" w:pos="2250"/>
          <w:tab w:val="left" w:pos="2790"/>
        </w:tabs>
        <w:outlineLvl w:val="2"/>
        <w:rPr>
          <w:rFonts w:ascii="Calibri" w:hAnsi="Calibri" w:cs="Calibri"/>
          <w:color w:val="000000"/>
          <w:sz w:val="22"/>
          <w:szCs w:val="22"/>
        </w:rPr>
      </w:pPr>
      <w:r w:rsidRPr="00227FC1">
        <w:rPr>
          <w:rFonts w:ascii="Calibri" w:hAnsi="Calibri" w:cs="Calibri"/>
          <w:sz w:val="22"/>
          <w:szCs w:val="22"/>
        </w:rPr>
        <w:t xml:space="preserve">Physical distancing </w:t>
      </w:r>
      <w:r w:rsidRPr="00227FC1" w:rsidR="00D93BB2">
        <w:rPr>
          <w:rFonts w:ascii="Calibri" w:hAnsi="Calibri" w:cs="Calibri"/>
          <w:color w:val="000000"/>
          <w:sz w:val="22"/>
          <w:szCs w:val="22"/>
        </w:rPr>
        <w:t xml:space="preserve">(maintaining at least 6 feet between people) </w:t>
      </w:r>
      <w:r w:rsidRPr="00227FC1">
        <w:rPr>
          <w:rFonts w:ascii="Calibri" w:hAnsi="Calibri" w:cs="Calibri"/>
          <w:sz w:val="22"/>
          <w:szCs w:val="22"/>
        </w:rPr>
        <w:t xml:space="preserve">is a mitigation strategy that is important in the community and is very important in health care organizations.  </w:t>
      </w:r>
    </w:p>
    <w:p w:rsidRPr="00227FC1" w:rsidR="00571175" w:rsidP="00383C64" w:rsidRDefault="00571175" w14:paraId="227F2264" w14:textId="77777777">
      <w:pPr>
        <w:keepNext/>
        <w:tabs>
          <w:tab w:val="left" w:pos="2250"/>
          <w:tab w:val="left" w:pos="2790"/>
        </w:tabs>
        <w:outlineLvl w:val="2"/>
        <w:rPr>
          <w:rFonts w:ascii="Calibri" w:hAnsi="Calibri" w:cs="Calibri"/>
          <w:b/>
          <w:color w:val="000000"/>
          <w:sz w:val="22"/>
          <w:szCs w:val="22"/>
        </w:rPr>
      </w:pPr>
    </w:p>
    <w:p w:rsidR="00383C64" w:rsidP="00383C64" w:rsidRDefault="00383C64" w14:paraId="03C339E4" w14:textId="065CC5DD">
      <w:pPr>
        <w:keepNext/>
        <w:tabs>
          <w:tab w:val="left" w:pos="2250"/>
          <w:tab w:val="left" w:pos="2790"/>
        </w:tabs>
        <w:outlineLvl w:val="2"/>
        <w:rPr>
          <w:rFonts w:ascii="Calibri" w:hAnsi="Calibri" w:cs="Calibri"/>
          <w:b/>
          <w:color w:val="000000"/>
          <w:sz w:val="22"/>
          <w:szCs w:val="22"/>
        </w:rPr>
      </w:pPr>
      <w:r w:rsidRPr="00227FC1">
        <w:rPr>
          <w:rFonts w:ascii="Calibri" w:hAnsi="Calibri" w:cs="Calibri"/>
          <w:b/>
          <w:color w:val="000000"/>
          <w:sz w:val="22"/>
          <w:szCs w:val="22"/>
        </w:rPr>
        <w:t>Policy</w:t>
      </w:r>
    </w:p>
    <w:p w:rsidRPr="00227FC1" w:rsidR="00227FC1" w:rsidP="00383C64" w:rsidRDefault="00227FC1" w14:paraId="301F72CC" w14:textId="77777777">
      <w:pPr>
        <w:keepNext/>
        <w:tabs>
          <w:tab w:val="left" w:pos="2250"/>
          <w:tab w:val="left" w:pos="2790"/>
        </w:tabs>
        <w:outlineLvl w:val="2"/>
        <w:rPr>
          <w:rFonts w:ascii="Calibri" w:hAnsi="Calibri" w:cs="Calibri"/>
          <w:b/>
          <w:color w:val="000000"/>
          <w:sz w:val="22"/>
          <w:szCs w:val="22"/>
        </w:rPr>
      </w:pPr>
    </w:p>
    <w:p w:rsidRPr="00227FC1" w:rsidR="00383C64" w:rsidP="00383C64" w:rsidRDefault="00383C64" w14:paraId="7390A49C" w14:textId="6E1BC86E">
      <w:pPr>
        <w:keepNext/>
        <w:tabs>
          <w:tab w:val="left" w:pos="2250"/>
          <w:tab w:val="left" w:pos="2790"/>
        </w:tabs>
        <w:outlineLvl w:val="2"/>
        <w:rPr>
          <w:rFonts w:ascii="Calibri" w:hAnsi="Calibri" w:cs="Calibri"/>
          <w:bCs/>
          <w:color w:val="000000"/>
          <w:sz w:val="22"/>
          <w:szCs w:val="22"/>
        </w:rPr>
      </w:pPr>
      <w:r w:rsidRPr="00227FC1">
        <w:rPr>
          <w:rFonts w:ascii="Calibri" w:hAnsi="Calibri" w:cs="Calibri"/>
          <w:bCs/>
          <w:color w:val="000000"/>
          <w:sz w:val="22"/>
          <w:szCs w:val="22"/>
        </w:rPr>
        <w:t xml:space="preserve">It is the policy of this facility to implement </w:t>
      </w:r>
      <w:r w:rsidRPr="00227FC1" w:rsidR="00571175">
        <w:rPr>
          <w:rFonts w:ascii="Calibri" w:hAnsi="Calibri" w:cs="Calibri"/>
          <w:bCs/>
          <w:color w:val="000000"/>
          <w:sz w:val="22"/>
          <w:szCs w:val="22"/>
        </w:rPr>
        <w:t xml:space="preserve">physical distancing </w:t>
      </w:r>
      <w:r w:rsidRPr="00227FC1" w:rsidR="00571175">
        <w:rPr>
          <w:rFonts w:ascii="Calibri" w:hAnsi="Calibri" w:cs="Calibri"/>
          <w:color w:val="000000"/>
          <w:sz w:val="22"/>
          <w:szCs w:val="22"/>
        </w:rPr>
        <w:t>(maintaining at least 6 feet between people) measures</w:t>
      </w:r>
      <w:r w:rsidR="0044220A">
        <w:rPr>
          <w:rFonts w:ascii="Calibri" w:hAnsi="Calibri" w:cs="Calibri"/>
          <w:color w:val="000000"/>
          <w:sz w:val="22"/>
          <w:szCs w:val="22"/>
        </w:rPr>
        <w:t xml:space="preserve"> as recommended by current State and Federal guidance to include</w:t>
      </w:r>
      <w:r w:rsidRPr="00227FC1" w:rsidR="00571175">
        <w:rPr>
          <w:rFonts w:ascii="Calibri" w:hAnsi="Calibri" w:cs="Calibri"/>
          <w:color w:val="000000"/>
          <w:sz w:val="22"/>
          <w:szCs w:val="22"/>
        </w:rPr>
        <w:t xml:space="preserve"> </w:t>
      </w:r>
      <w:r w:rsidR="00EA1C70">
        <w:rPr>
          <w:rFonts w:ascii="Calibri" w:hAnsi="Calibri" w:cs="Calibri"/>
          <w:color w:val="000000"/>
          <w:sz w:val="22"/>
          <w:szCs w:val="22"/>
        </w:rPr>
        <w:t>with large gatherings</w:t>
      </w:r>
      <w:r w:rsidR="0044220A">
        <w:rPr>
          <w:rFonts w:ascii="Calibri" w:hAnsi="Calibri" w:cs="Calibri"/>
          <w:color w:val="000000"/>
          <w:sz w:val="22"/>
          <w:szCs w:val="22"/>
        </w:rPr>
        <w:t xml:space="preserve">, </w:t>
      </w:r>
      <w:r w:rsidR="00EA1C70">
        <w:rPr>
          <w:rFonts w:ascii="Calibri" w:hAnsi="Calibri" w:cs="Calibri"/>
          <w:color w:val="000000"/>
          <w:sz w:val="22"/>
          <w:szCs w:val="22"/>
        </w:rPr>
        <w:t>when visitation occurs during an outbreak investigation</w:t>
      </w:r>
      <w:r w:rsidRPr="00227FC1">
        <w:rPr>
          <w:rFonts w:ascii="Calibri" w:hAnsi="Calibri" w:cs="Calibri"/>
          <w:bCs/>
          <w:color w:val="000000"/>
          <w:sz w:val="22"/>
          <w:szCs w:val="22"/>
        </w:rPr>
        <w:t xml:space="preserve"> in accordance with current COVID-19 guidance</w:t>
      </w:r>
      <w:r w:rsidR="0044220A">
        <w:rPr>
          <w:rFonts w:ascii="Calibri" w:hAnsi="Calibri" w:cs="Calibri"/>
          <w:bCs/>
          <w:color w:val="000000"/>
          <w:sz w:val="22"/>
          <w:szCs w:val="22"/>
        </w:rPr>
        <w:t xml:space="preserve"> and other instances as recommended by the Centers for Disease Control and Prevention (CDC) or the Centers for Medicare &amp; Medicaid Services (CMS).</w:t>
      </w:r>
    </w:p>
    <w:p w:rsidRPr="00227FC1" w:rsidR="00383C64" w:rsidP="00383C64" w:rsidRDefault="00383C64" w14:paraId="0F07EB23" w14:textId="77777777">
      <w:pPr>
        <w:outlineLvl w:val="2"/>
        <w:rPr>
          <w:rFonts w:ascii="Calibri" w:hAnsi="Calibri" w:cs="Calibri"/>
          <w:sz w:val="22"/>
          <w:szCs w:val="22"/>
        </w:rPr>
      </w:pPr>
    </w:p>
    <w:p w:rsidR="00383C64" w:rsidP="00383C64" w:rsidRDefault="00383C64" w14:paraId="3DD457EF" w14:textId="4183C8D6">
      <w:pPr>
        <w:outlineLvl w:val="2"/>
        <w:rPr>
          <w:rFonts w:ascii="Calibri" w:hAnsi="Calibri" w:cs="Calibri"/>
          <w:b/>
          <w:bCs/>
          <w:sz w:val="22"/>
          <w:szCs w:val="22"/>
        </w:rPr>
      </w:pPr>
      <w:r w:rsidRPr="00227FC1">
        <w:rPr>
          <w:rFonts w:ascii="Calibri" w:hAnsi="Calibri" w:cs="Calibri"/>
          <w:b/>
          <w:bCs/>
          <w:sz w:val="22"/>
          <w:szCs w:val="22"/>
        </w:rPr>
        <w:t>Procedure</w:t>
      </w:r>
    </w:p>
    <w:p w:rsidRPr="00227FC1" w:rsidR="00227FC1" w:rsidP="00383C64" w:rsidRDefault="00227FC1" w14:paraId="77BC9394" w14:textId="77777777">
      <w:pPr>
        <w:outlineLvl w:val="2"/>
        <w:rPr>
          <w:rFonts w:ascii="Calibri" w:hAnsi="Calibri" w:cs="Calibri"/>
          <w:b/>
          <w:bCs/>
          <w:sz w:val="22"/>
          <w:szCs w:val="22"/>
        </w:rPr>
      </w:pPr>
    </w:p>
    <w:p w:rsidR="00D93BB2" w:rsidP="00EA1C70" w:rsidRDefault="00EA1C70" w14:paraId="728BD55C" w14:textId="5970780E">
      <w:pPr>
        <w:pStyle w:val="ListParagraph"/>
        <w:numPr>
          <w:ilvl w:val="0"/>
          <w:numId w:val="4"/>
        </w:numPr>
        <w:outlineLvl w:val="2"/>
        <w:rPr>
          <w:rFonts w:ascii="Calibri" w:hAnsi="Calibri" w:cs="Calibri"/>
          <w:sz w:val="22"/>
          <w:szCs w:val="22"/>
        </w:rPr>
      </w:pPr>
      <w:r>
        <w:rPr>
          <w:rFonts w:ascii="Calibri" w:hAnsi="Calibri" w:cs="Calibri"/>
          <w:sz w:val="22"/>
          <w:szCs w:val="22"/>
        </w:rPr>
        <w:t>Physical distancing will be encouraged and recommended during peak visitation times and large gatherings.</w:t>
      </w:r>
    </w:p>
    <w:p w:rsidR="00EA1C70" w:rsidP="00EA1C70" w:rsidRDefault="00EA1C70" w14:paraId="4ABAA0E1" w14:textId="77777777">
      <w:pPr>
        <w:pStyle w:val="ListParagraph"/>
        <w:outlineLvl w:val="2"/>
        <w:rPr>
          <w:rFonts w:ascii="Calibri" w:hAnsi="Calibri" w:cs="Calibri"/>
          <w:sz w:val="22"/>
          <w:szCs w:val="22"/>
        </w:rPr>
      </w:pPr>
    </w:p>
    <w:p w:rsidR="00EA1C70" w:rsidP="00EA1C70" w:rsidRDefault="00EA1C70" w14:paraId="6FACE6DD" w14:textId="5CF5FE74">
      <w:pPr>
        <w:pStyle w:val="ListParagraph"/>
        <w:numPr>
          <w:ilvl w:val="0"/>
          <w:numId w:val="4"/>
        </w:numPr>
        <w:outlineLvl w:val="2"/>
        <w:rPr>
          <w:rFonts w:ascii="Calibri" w:hAnsi="Calibri" w:cs="Calibri"/>
          <w:sz w:val="22"/>
          <w:szCs w:val="22"/>
        </w:rPr>
      </w:pPr>
      <w:r>
        <w:rPr>
          <w:rFonts w:ascii="Calibri" w:hAnsi="Calibri" w:cs="Calibri"/>
          <w:sz w:val="22"/>
          <w:szCs w:val="22"/>
        </w:rPr>
        <w:t>Facility will post signage as reminders in common areas that includes:</w:t>
      </w:r>
    </w:p>
    <w:p w:rsidR="00EA1C70" w:rsidP="00EA1C70" w:rsidRDefault="00EA1C70" w14:paraId="642F8B0B" w14:textId="30F6573F">
      <w:pPr>
        <w:pStyle w:val="ListParagraph"/>
        <w:numPr>
          <w:ilvl w:val="1"/>
          <w:numId w:val="4"/>
        </w:numPr>
        <w:outlineLvl w:val="2"/>
        <w:rPr>
          <w:rFonts w:ascii="Calibri" w:hAnsi="Calibri" w:cs="Calibri"/>
          <w:sz w:val="22"/>
          <w:szCs w:val="22"/>
        </w:rPr>
      </w:pPr>
      <w:r>
        <w:rPr>
          <w:rFonts w:ascii="Calibri" w:hAnsi="Calibri" w:cs="Calibri"/>
          <w:sz w:val="22"/>
          <w:szCs w:val="22"/>
        </w:rPr>
        <w:t>Physical distancing of at least 6 feet in large gatherings</w:t>
      </w:r>
    </w:p>
    <w:p w:rsidR="00EA1C70" w:rsidP="00EA1C70" w:rsidRDefault="00831DF5" w14:paraId="757DD756" w14:textId="7BB01659">
      <w:pPr>
        <w:pStyle w:val="ListParagraph"/>
        <w:numPr>
          <w:ilvl w:val="1"/>
          <w:numId w:val="4"/>
        </w:numPr>
        <w:outlineLvl w:val="2"/>
        <w:rPr>
          <w:rFonts w:ascii="Calibri" w:hAnsi="Calibri" w:cs="Calibri"/>
          <w:sz w:val="22"/>
          <w:szCs w:val="22"/>
        </w:rPr>
      </w:pPr>
      <w:r>
        <w:rPr>
          <w:rFonts w:ascii="Calibri" w:hAnsi="Calibri" w:cs="Calibri"/>
          <w:sz w:val="22"/>
          <w:szCs w:val="22"/>
        </w:rPr>
        <w:t>Instructions on when and how to perform</w:t>
      </w:r>
      <w:r w:rsidR="00EA1C70">
        <w:rPr>
          <w:rFonts w:ascii="Calibri" w:hAnsi="Calibri" w:cs="Calibri"/>
          <w:sz w:val="22"/>
          <w:szCs w:val="22"/>
        </w:rPr>
        <w:t xml:space="preserve"> hand hygiene</w:t>
      </w:r>
    </w:p>
    <w:p w:rsidR="00EA1C70" w:rsidP="00EA1C70" w:rsidRDefault="00EA1C70" w14:paraId="2D5A7C37" w14:textId="74BAB1E0">
      <w:pPr>
        <w:pStyle w:val="ListParagraph"/>
        <w:numPr>
          <w:ilvl w:val="1"/>
          <w:numId w:val="4"/>
        </w:numPr>
        <w:outlineLvl w:val="2"/>
        <w:rPr>
          <w:rFonts w:ascii="Calibri" w:hAnsi="Calibri" w:cs="Calibri"/>
          <w:sz w:val="22"/>
          <w:szCs w:val="22"/>
        </w:rPr>
      </w:pPr>
      <w:r>
        <w:rPr>
          <w:rFonts w:ascii="Calibri" w:hAnsi="Calibri" w:cs="Calibri"/>
          <w:sz w:val="22"/>
          <w:szCs w:val="22"/>
        </w:rPr>
        <w:t>Source Control-wearing well-fitting masks</w:t>
      </w:r>
    </w:p>
    <w:p w:rsidRPr="00EA1C70" w:rsidR="00EA1C70" w:rsidP="00EA1C70" w:rsidRDefault="00EA1C70" w14:paraId="3946CBEC" w14:textId="77777777">
      <w:pPr>
        <w:pStyle w:val="ListParagraph"/>
        <w:ind w:left="1440"/>
        <w:outlineLvl w:val="2"/>
        <w:rPr>
          <w:rFonts w:ascii="Calibri" w:hAnsi="Calibri" w:cs="Calibri"/>
          <w:sz w:val="22"/>
          <w:szCs w:val="22"/>
        </w:rPr>
      </w:pPr>
    </w:p>
    <w:p w:rsidRPr="00227FC1" w:rsidR="00D93BB2" w:rsidP="0015616F" w:rsidRDefault="00D93BB2" w14:paraId="01573531" w14:textId="29B5AF96">
      <w:pPr>
        <w:pStyle w:val="ListParagraph"/>
        <w:numPr>
          <w:ilvl w:val="0"/>
          <w:numId w:val="4"/>
        </w:numPr>
        <w:outlineLvl w:val="2"/>
        <w:rPr>
          <w:rFonts w:ascii="Calibri" w:hAnsi="Calibri" w:cs="Calibri"/>
          <w:sz w:val="22"/>
          <w:szCs w:val="22"/>
        </w:rPr>
      </w:pPr>
      <w:r w:rsidRPr="00227FC1">
        <w:rPr>
          <w:rFonts w:ascii="Calibri" w:hAnsi="Calibri" w:cs="Calibri"/>
          <w:sz w:val="22"/>
          <w:szCs w:val="22"/>
        </w:rPr>
        <w:t>Visitation</w:t>
      </w:r>
    </w:p>
    <w:p w:rsidR="00D93BB2" w:rsidP="0015616F" w:rsidRDefault="00831DF5" w14:paraId="7B7997E2" w14:textId="7C03DEED">
      <w:pPr>
        <w:pStyle w:val="NoSpacing"/>
        <w:numPr>
          <w:ilvl w:val="1"/>
          <w:numId w:val="4"/>
        </w:numPr>
        <w:rPr>
          <w:rFonts w:ascii="Calibri" w:hAnsi="Calibri" w:cs="Calibri"/>
        </w:rPr>
      </w:pPr>
      <w:r>
        <w:rPr>
          <w:rFonts w:ascii="Calibri" w:hAnsi="Calibri" w:cs="Calibri"/>
        </w:rPr>
        <w:t>Physical distancing is recommended and encouraged during peak times of visitation and with large gatherings</w:t>
      </w:r>
    </w:p>
    <w:p w:rsidR="00831DF5" w:rsidP="0015616F" w:rsidRDefault="00831DF5" w14:paraId="3B8C2FD8" w14:textId="43E7BA02">
      <w:pPr>
        <w:pStyle w:val="NoSpacing"/>
        <w:numPr>
          <w:ilvl w:val="1"/>
          <w:numId w:val="4"/>
        </w:numPr>
        <w:rPr>
          <w:rFonts w:ascii="Calibri" w:hAnsi="Calibri" w:cs="Calibri"/>
        </w:rPr>
      </w:pPr>
      <w:r>
        <w:rPr>
          <w:rFonts w:ascii="Calibri" w:hAnsi="Calibri" w:cs="Calibri"/>
        </w:rPr>
        <w:t>If visitation occurs during an outbreak investigation, visitors will be instructed to physically distance themselves from other residents and staff whenever possible and performance of hand hygiene</w:t>
      </w:r>
    </w:p>
    <w:p w:rsidR="00831DF5" w:rsidP="00831DF5" w:rsidRDefault="00831DF5" w14:paraId="4A90AF24" w14:textId="7C4B3128">
      <w:pPr>
        <w:pStyle w:val="NoSpacing"/>
        <w:numPr>
          <w:ilvl w:val="2"/>
          <w:numId w:val="4"/>
        </w:numPr>
        <w:rPr>
          <w:rFonts w:ascii="Calibri" w:hAnsi="Calibri" w:cs="Calibri"/>
        </w:rPr>
      </w:pPr>
      <w:r>
        <w:rPr>
          <w:rFonts w:ascii="Calibri" w:hAnsi="Calibri" w:cs="Calibri"/>
        </w:rPr>
        <w:t>Instruct visitor to go directly to resident room or visitation area</w:t>
      </w:r>
    </w:p>
    <w:p w:rsidRPr="00227FC1" w:rsidR="00DF4F15" w:rsidP="00DF4F15" w:rsidRDefault="00DF4F15" w14:paraId="1E7EFC0B" w14:textId="47F4917D">
      <w:pPr>
        <w:pStyle w:val="NoSpacing"/>
        <w:ind w:left="1440"/>
        <w:rPr>
          <w:rFonts w:ascii="Calibri" w:hAnsi="Calibri" w:cs="Calibri"/>
        </w:rPr>
      </w:pPr>
    </w:p>
    <w:p w:rsidRPr="00227FC1" w:rsidR="00D93BB2" w:rsidP="0015616F" w:rsidRDefault="00D93BB2" w14:paraId="3A1DE04A" w14:textId="6FD9F4D8">
      <w:pPr>
        <w:pStyle w:val="ListParagraph"/>
        <w:numPr>
          <w:ilvl w:val="0"/>
          <w:numId w:val="4"/>
        </w:numPr>
        <w:outlineLvl w:val="2"/>
        <w:rPr>
          <w:rFonts w:ascii="Calibri" w:hAnsi="Calibri" w:cs="Calibri"/>
          <w:sz w:val="22"/>
          <w:szCs w:val="22"/>
        </w:rPr>
      </w:pPr>
      <w:r w:rsidRPr="00227FC1">
        <w:rPr>
          <w:rFonts w:ascii="Calibri" w:hAnsi="Calibri" w:cs="Calibri"/>
          <w:sz w:val="22"/>
          <w:szCs w:val="22"/>
        </w:rPr>
        <w:t xml:space="preserve">Communal </w:t>
      </w:r>
      <w:r w:rsidRPr="00227FC1" w:rsidR="00416193">
        <w:rPr>
          <w:rFonts w:ascii="Calibri" w:hAnsi="Calibri" w:cs="Calibri"/>
          <w:sz w:val="22"/>
          <w:szCs w:val="22"/>
        </w:rPr>
        <w:t>A</w:t>
      </w:r>
      <w:r w:rsidRPr="00227FC1">
        <w:rPr>
          <w:rFonts w:ascii="Calibri" w:hAnsi="Calibri" w:cs="Calibri"/>
          <w:sz w:val="22"/>
          <w:szCs w:val="22"/>
        </w:rPr>
        <w:t>reas</w:t>
      </w:r>
      <w:r w:rsidR="0045171D">
        <w:rPr>
          <w:rFonts w:ascii="Calibri" w:hAnsi="Calibri" w:cs="Calibri"/>
          <w:sz w:val="22"/>
          <w:szCs w:val="22"/>
        </w:rPr>
        <w:t xml:space="preserve">, </w:t>
      </w:r>
      <w:r w:rsidRPr="00227FC1" w:rsidR="00416193">
        <w:rPr>
          <w:rFonts w:ascii="Calibri" w:hAnsi="Calibri" w:cs="Calibri"/>
          <w:sz w:val="22"/>
          <w:szCs w:val="22"/>
        </w:rPr>
        <w:t>Dining Areas</w:t>
      </w:r>
      <w:r w:rsidR="0045171D">
        <w:rPr>
          <w:rFonts w:ascii="Calibri" w:hAnsi="Calibri" w:cs="Calibri"/>
          <w:sz w:val="22"/>
          <w:szCs w:val="22"/>
        </w:rPr>
        <w:t>, Group Activities</w:t>
      </w:r>
    </w:p>
    <w:p w:rsidRPr="00683901" w:rsidR="0044220A" w:rsidP="00683901" w:rsidRDefault="00831DF5" w14:paraId="4DA70128" w14:textId="24F59948">
      <w:pPr>
        <w:pStyle w:val="ListParagraph"/>
        <w:numPr>
          <w:ilvl w:val="1"/>
          <w:numId w:val="4"/>
        </w:numPr>
        <w:shd w:val="clear" w:color="auto" w:fill="FFFFFF"/>
        <w:rPr>
          <w:rFonts w:ascii="Calibri" w:hAnsi="Calibri" w:cs="Calibri"/>
          <w:color w:val="000000"/>
          <w:sz w:val="22"/>
          <w:szCs w:val="22"/>
        </w:rPr>
      </w:pPr>
      <w:r>
        <w:rPr>
          <w:rFonts w:ascii="Calibri" w:hAnsi="Calibri" w:cs="Calibri"/>
          <w:sz w:val="22"/>
          <w:szCs w:val="22"/>
        </w:rPr>
        <w:t xml:space="preserve">If a resident is unable to wear a mask due to disability or medical condition, resident should physically distance from others during large gatherings and educate resident on the core principles of infection prevention (i.e., hand hygiene, physical distancing, cough </w:t>
      </w:r>
      <w:r>
        <w:rPr>
          <w:rFonts w:ascii="Calibri" w:hAnsi="Calibri" w:cs="Calibri"/>
          <w:sz w:val="22"/>
          <w:szCs w:val="22"/>
        </w:rPr>
        <w:lastRenderedPageBreak/>
        <w:t>etiquette, etc.), and staff to provide reminders for adherence to infection prevention principles.</w:t>
      </w:r>
    </w:p>
    <w:p w:rsidRPr="00683901" w:rsidR="00683901" w:rsidP="00683901" w:rsidRDefault="00683901" w14:paraId="7D0634CC" w14:textId="77777777">
      <w:pPr>
        <w:pStyle w:val="ListParagraph"/>
        <w:shd w:val="clear" w:color="auto" w:fill="FFFFFF"/>
        <w:ind w:left="1440"/>
        <w:rPr>
          <w:rFonts w:ascii="Calibri" w:hAnsi="Calibri" w:cs="Calibri"/>
          <w:color w:val="000000"/>
          <w:sz w:val="22"/>
          <w:szCs w:val="22"/>
        </w:rPr>
      </w:pPr>
    </w:p>
    <w:p w:rsidRPr="00227FC1" w:rsidR="0044220A" w:rsidP="00683901" w:rsidRDefault="0044220A" w14:paraId="74B44374" w14:textId="2779F907">
      <w:pPr>
        <w:pStyle w:val="ListParagraph"/>
        <w:numPr>
          <w:ilvl w:val="0"/>
          <w:numId w:val="4"/>
        </w:numPr>
        <w:shd w:val="clear" w:color="auto" w:fill="FFFFFF"/>
        <w:rPr>
          <w:rFonts w:ascii="Calibri" w:hAnsi="Calibri" w:cs="Calibri"/>
          <w:color w:val="000000"/>
          <w:sz w:val="22"/>
          <w:szCs w:val="22"/>
        </w:rPr>
      </w:pPr>
      <w:r>
        <w:rPr>
          <w:rFonts w:ascii="Calibri" w:hAnsi="Calibri" w:cs="Calibri"/>
          <w:sz w:val="22"/>
          <w:szCs w:val="22"/>
        </w:rPr>
        <w:t>If employees are requested to return to work with contingency capacity strategies to mitigate staffing shortages, to the extent possible, staff should practice physical distancing from others.</w:t>
      </w:r>
    </w:p>
    <w:p w:rsidRPr="00227FC1" w:rsidR="004613FA" w:rsidP="00945B7E" w:rsidRDefault="004613FA" w14:paraId="0146ECB5" w14:textId="4C650CD7">
      <w:pPr>
        <w:spacing w:after="160" w:line="259" w:lineRule="auto"/>
        <w:rPr>
          <w:rFonts w:ascii="Calibri" w:hAnsi="Calibri" w:cs="Calibri"/>
          <w:b/>
          <w:sz w:val="22"/>
          <w:szCs w:val="22"/>
        </w:rPr>
      </w:pPr>
    </w:p>
    <w:p w:rsidR="00683901" w:rsidP="00C134CC" w:rsidRDefault="00683901" w14:paraId="3709F187" w14:textId="77777777">
      <w:pPr>
        <w:pStyle w:val="NoSpacing"/>
        <w:rPr>
          <w:rFonts w:ascii="Calibri" w:hAnsi="Calibri" w:cs="Calibri"/>
          <w:b/>
          <w:bCs/>
        </w:rPr>
      </w:pPr>
    </w:p>
    <w:p w:rsidRPr="00227FC1" w:rsidR="00C134CC" w:rsidP="00C134CC" w:rsidRDefault="00C134CC" w14:paraId="36E0B0B6" w14:textId="086618C6">
      <w:pPr>
        <w:pStyle w:val="NoSpacing"/>
        <w:rPr>
          <w:rFonts w:ascii="Calibri" w:hAnsi="Calibri" w:cs="Calibri"/>
          <w:b/>
          <w:bCs/>
        </w:rPr>
      </w:pPr>
      <w:r w:rsidRPr="00227FC1">
        <w:rPr>
          <w:rFonts w:ascii="Calibri" w:hAnsi="Calibri" w:cs="Calibri"/>
          <w:b/>
          <w:bCs/>
        </w:rPr>
        <w:t>References</w:t>
      </w:r>
      <w:r w:rsidR="00683901">
        <w:rPr>
          <w:rFonts w:ascii="Calibri" w:hAnsi="Calibri" w:cs="Calibri"/>
          <w:b/>
          <w:bCs/>
        </w:rPr>
        <w:t xml:space="preserve"> and Resources</w:t>
      </w:r>
      <w:r w:rsidRPr="00227FC1">
        <w:rPr>
          <w:rFonts w:ascii="Calibri" w:hAnsi="Calibri" w:cs="Calibri"/>
          <w:b/>
          <w:bCs/>
        </w:rPr>
        <w:t>:</w:t>
      </w:r>
    </w:p>
    <w:p w:rsidRPr="00227FC1" w:rsidR="00C134CC" w:rsidP="00C134CC" w:rsidRDefault="00C134CC" w14:paraId="64E8169F" w14:textId="77777777">
      <w:pPr>
        <w:pStyle w:val="NoSpacing"/>
        <w:rPr>
          <w:rFonts w:ascii="Calibri" w:hAnsi="Calibri" w:cs="Calibri"/>
          <w:b/>
          <w:bCs/>
        </w:rPr>
      </w:pPr>
    </w:p>
    <w:p w:rsidR="0045171D" w:rsidP="0045171D" w:rsidRDefault="0045171D" w14:paraId="68816277" w14:textId="77777777">
      <w:pPr>
        <w:pStyle w:val="NoSpacing"/>
        <w:rPr>
          <w:rStyle w:val="Hyperlink"/>
        </w:rPr>
      </w:pPr>
      <w:r>
        <w:t xml:space="preserve">Centers for Disease Control and Prevention.  Interim Infection Prevention and Control Recommendations for Healthcare Personnel During the Coronavirus Disease 2019 (COVID-19) Pandemic), Updated Sept. 23, 2022:  </w:t>
      </w:r>
      <w:hyperlink w:history="1" r:id="rId16">
        <w:r w:rsidRPr="00B11F35">
          <w:rPr>
            <w:rStyle w:val="Hyperlink"/>
          </w:rPr>
          <w:t>https://www.cdc.gov/coronavirus/2019-ncov/hcp/infection-control-recommendations.html</w:t>
        </w:r>
      </w:hyperlink>
      <w:r>
        <w:t xml:space="preserve">  </w:t>
      </w:r>
    </w:p>
    <w:p w:rsidRPr="00CE00A0" w:rsidR="0045171D" w:rsidP="0045171D" w:rsidRDefault="0045171D" w14:paraId="46AB50B6" w14:textId="77777777">
      <w:pPr>
        <w:pStyle w:val="NoSpacing"/>
        <w:rPr>
          <w:rFonts w:ascii="Calibri" w:hAnsi="Calibri" w:cs="Calibri"/>
        </w:rPr>
      </w:pPr>
    </w:p>
    <w:p w:rsidRPr="00D54254" w:rsidR="0045171D" w:rsidP="0045171D" w:rsidRDefault="0045171D" w14:paraId="35443C05" w14:textId="77777777">
      <w:pPr>
        <w:pStyle w:val="NoSpacing"/>
        <w:rPr>
          <w:rFonts w:ascii="Calibri" w:hAnsi="Calibri" w:cs="Calibri"/>
          <w:b/>
          <w:bCs/>
        </w:rPr>
      </w:pPr>
      <w:bookmarkStart w:name="_Hlk121226412" w:id="0"/>
      <w:r>
        <w:t xml:space="preserve">Centers for Disease Control and Prevention.  </w:t>
      </w:r>
      <w:bookmarkEnd w:id="0"/>
      <w:r>
        <w:t xml:space="preserve">CDC Streamlines COVID-19 guidance to help the public better protect themselves and understand their risk.  August 11, 2022:  </w:t>
      </w:r>
      <w:hyperlink w:history="1" r:id="rId17">
        <w:r w:rsidRPr="008F563D">
          <w:rPr>
            <w:rStyle w:val="Hyperlink"/>
          </w:rPr>
          <w:t>https://www.cdc.gov/media/releases/2022/p0811-covid-guidance.html</w:t>
        </w:r>
      </w:hyperlink>
      <w:r>
        <w:t xml:space="preserve"> </w:t>
      </w:r>
    </w:p>
    <w:p w:rsidR="0045171D" w:rsidP="0045171D" w:rsidRDefault="0045171D" w14:paraId="15BF66DB" w14:textId="77777777">
      <w:pPr>
        <w:pStyle w:val="NoSpacing"/>
        <w:rPr>
          <w:rFonts w:ascii="Calibri" w:hAnsi="Calibri" w:cs="Calibri"/>
          <w:b/>
          <w:bCs/>
        </w:rPr>
      </w:pPr>
    </w:p>
    <w:p w:rsidRPr="001A42C9" w:rsidR="0045171D" w:rsidP="0045171D" w:rsidRDefault="0045171D" w14:paraId="6AD9ADA2" w14:textId="77777777">
      <w:pPr>
        <w:pStyle w:val="NoSpacing"/>
        <w:rPr>
          <w:rFonts w:ascii="Calibri" w:hAnsi="Calibri" w:cs="Calibri"/>
        </w:rPr>
      </w:pPr>
      <w:r>
        <w:rPr>
          <w:rFonts w:ascii="Calibri" w:hAnsi="Calibri" w:cs="Calibri"/>
        </w:rPr>
        <w:t xml:space="preserve">Centers for Medicare &amp; Medicaid Services.  QSO-20-39-NH, Nursing Home Visitation – COVID-19 (REVISED), 09/23/2022:  </w:t>
      </w:r>
      <w:hyperlink w:history="1" r:id="rId18">
        <w:r w:rsidRPr="008F563D">
          <w:rPr>
            <w:rStyle w:val="Hyperlink"/>
            <w:rFonts w:ascii="Calibri" w:hAnsi="Calibri" w:cs="Calibri"/>
          </w:rPr>
          <w:t>https://www.cms.gov/files/document/qso-20-39-nh-revised.pdf</w:t>
        </w:r>
      </w:hyperlink>
      <w:r>
        <w:rPr>
          <w:rFonts w:ascii="Calibri" w:hAnsi="Calibri" w:cs="Calibri"/>
        </w:rPr>
        <w:t xml:space="preserve"> </w:t>
      </w:r>
    </w:p>
    <w:p w:rsidR="00C134CC" w:rsidP="00945B7E" w:rsidRDefault="00C134CC" w14:paraId="5BAA7F40" w14:textId="404A1E14">
      <w:pPr>
        <w:spacing w:after="160" w:line="259" w:lineRule="auto"/>
        <w:rPr>
          <w:rFonts w:ascii="Calibri" w:hAnsi="Calibri" w:cs="Calibri"/>
          <w:b/>
          <w:sz w:val="22"/>
          <w:szCs w:val="22"/>
        </w:rPr>
      </w:pPr>
    </w:p>
    <w:p w:rsidR="00DC2425" w:rsidP="00DC2425" w:rsidRDefault="00DC2425" w14:paraId="5E23E332" w14:textId="77777777">
      <w:pPr>
        <w:spacing w:after="160" w:line="259" w:lineRule="auto"/>
        <w:rPr>
          <w:rStyle w:val="Hyperlink"/>
          <w:rFonts w:asciiTheme="minorHAnsi" w:hAnsiTheme="minorHAnsi" w:cstheme="minorHAnsi"/>
        </w:rPr>
      </w:pPr>
      <w:r w:rsidRPr="000073AD">
        <w:rPr>
          <w:rFonts w:eastAsia="MS Mincho" w:asciiTheme="minorHAnsi" w:hAnsiTheme="minorHAnsi" w:cstheme="minorHAnsi"/>
        </w:rPr>
        <w:t>Centers for Medicare &amp; Medicaid Services</w:t>
      </w:r>
      <w:r>
        <w:rPr>
          <w:rFonts w:eastAsia="MS Mincho" w:asciiTheme="minorHAnsi" w:hAnsiTheme="minorHAnsi" w:cstheme="minorHAnsi"/>
        </w:rPr>
        <w:t xml:space="preserve">. </w:t>
      </w:r>
      <w:r w:rsidRPr="000073AD">
        <w:rPr>
          <w:rFonts w:eastAsia="MS Mincho" w:asciiTheme="minorHAnsi" w:hAnsiTheme="minorHAnsi" w:cstheme="minorHAnsi"/>
        </w:rPr>
        <w:t xml:space="preserve"> State Operations Manual, Appendix PP – Guidance to Surveyors for Long Term Care Facilities (Rev. 173, 11-22-17) Advance Copy, 2022:  </w:t>
      </w:r>
      <w:hyperlink w:history="1" r:id="rId19">
        <w:r w:rsidRPr="000073AD">
          <w:rPr>
            <w:rStyle w:val="Hyperlink"/>
            <w:rFonts w:asciiTheme="minorHAnsi" w:hAnsiTheme="minorHAnsi" w:cstheme="minorHAnsi"/>
          </w:rPr>
          <w:t>https://www.cms.gov/files/docuent/appendix-pp-guidance-surveyor-long-term-care-facilities.pdf</w:t>
        </w:r>
      </w:hyperlink>
    </w:p>
    <w:p w:rsidR="00DC2425" w:rsidP="00DC2425" w:rsidRDefault="00DC2425" w14:paraId="7670BD87" w14:textId="1AE44C27">
      <w:pPr>
        <w:spacing w:after="160" w:line="259" w:lineRule="auto"/>
        <w:rPr>
          <w:rFonts w:ascii="Arial" w:hAnsi="Arial" w:cs="Arial"/>
          <w:b/>
        </w:rPr>
      </w:pPr>
      <w:r w:rsidRPr="000073AD">
        <w:rPr>
          <w:rFonts w:eastAsia="MS Mincho" w:asciiTheme="minorHAnsi" w:hAnsiTheme="minorHAnsi" w:cstheme="minorHAnsi"/>
        </w:rPr>
        <w:t>Centers for Medicare &amp; Medicaid Services</w:t>
      </w:r>
      <w:r>
        <w:rPr>
          <w:rFonts w:eastAsia="MS Mincho" w:asciiTheme="minorHAnsi" w:hAnsiTheme="minorHAnsi" w:cstheme="minorHAnsi"/>
        </w:rPr>
        <w:t xml:space="preserve">.  Infection Prevention, Control &amp; Immunizations Critical Element Pathway, CMS-20054 (10/26/2022):  </w:t>
      </w:r>
      <w:r>
        <w:rPr>
          <w:rFonts w:ascii="Arial" w:hAnsi="Arial" w:cs="Arial"/>
          <w:b/>
        </w:rPr>
        <w:t xml:space="preserve"> </w:t>
      </w:r>
      <w:hyperlink w:history="1" r:id="rId20">
        <w:r w:rsidRPr="000073AD">
          <w:rPr>
            <w:rStyle w:val="Hyperlink"/>
            <w:rFonts w:asciiTheme="minorHAnsi" w:hAnsiTheme="minorHAnsi" w:cstheme="minorHAnsi"/>
            <w:bCs/>
          </w:rPr>
          <w:t>https://www.cms.gov/medicare/provider-enrollment-and-certification/guidanceforlawsandregulations/nursing-homes</w:t>
        </w:r>
      </w:hyperlink>
      <w:r>
        <w:rPr>
          <w:rFonts w:ascii="Arial" w:hAnsi="Arial" w:cs="Arial"/>
          <w:b/>
        </w:rPr>
        <w:t xml:space="preserve"> </w:t>
      </w:r>
      <w:r w:rsidRPr="000073AD">
        <w:rPr>
          <w:rFonts w:ascii="Arial" w:hAnsi="Arial" w:cs="Arial"/>
          <w:b/>
        </w:rPr>
        <w:t xml:space="preserve"> </w:t>
      </w:r>
    </w:p>
    <w:p w:rsidRPr="0044220A" w:rsidR="0044220A" w:rsidP="00DC2425" w:rsidRDefault="0044220A" w14:paraId="434A27DE" w14:textId="3DD41F3E">
      <w:pPr>
        <w:spacing w:after="160" w:line="259" w:lineRule="auto"/>
        <w:rPr>
          <w:rFonts w:asciiTheme="minorHAnsi" w:hAnsiTheme="minorHAnsi" w:cstheme="minorHAnsi"/>
          <w:b/>
        </w:rPr>
      </w:pPr>
      <w:r w:rsidRPr="0044220A">
        <w:rPr>
          <w:rFonts w:asciiTheme="minorHAnsi" w:hAnsiTheme="minorHAnsi" w:cstheme="minorHAnsi"/>
        </w:rPr>
        <w:t xml:space="preserve">Centers for Disease Control and Prevention.  </w:t>
      </w:r>
      <w:r>
        <w:rPr>
          <w:rFonts w:asciiTheme="minorHAnsi" w:hAnsiTheme="minorHAnsi" w:cstheme="minorHAnsi"/>
        </w:rPr>
        <w:t xml:space="preserve">Strategies to Mitigate Healthcare Personnel Staffing Shortages, Updated Sept. 23, 2022:  </w:t>
      </w:r>
      <w:hyperlink w:history="1" r:id="rId21">
        <w:r w:rsidRPr="00AA2A67">
          <w:rPr>
            <w:rStyle w:val="Hyperlink"/>
            <w:rFonts w:asciiTheme="minorHAnsi" w:hAnsiTheme="minorHAnsi" w:cstheme="minorHAnsi"/>
          </w:rPr>
          <w:t>https://www.cdc.gov/coronavirus/2019-ncov/hcp/mitigating-staff-shortages.html</w:t>
        </w:r>
      </w:hyperlink>
      <w:r>
        <w:rPr>
          <w:rFonts w:asciiTheme="minorHAnsi" w:hAnsiTheme="minorHAnsi" w:cstheme="minorHAnsi"/>
        </w:rPr>
        <w:t xml:space="preserve"> </w:t>
      </w:r>
    </w:p>
    <w:sectPr w:rsidRPr="0044220A" w:rsidR="0044220A" w:rsidSect="00DE7AF9">
      <w:headerReference w:type="default" r:id="rId22"/>
      <w:footerReference w:type="default" r:id="rId23"/>
      <w:headerReference w:type="first" r:id="rId24"/>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765" w:rsidP="00FE158D" w:rsidRDefault="00E05765" w14:paraId="3C3B627F" w14:textId="77777777">
      <w:r>
        <w:separator/>
      </w:r>
    </w:p>
  </w:endnote>
  <w:endnote w:type="continuationSeparator" w:id="0">
    <w:p w:rsidR="00E05765" w:rsidP="00FE158D" w:rsidRDefault="00E05765" w14:paraId="70DC3A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765" w:rsidP="00FE158D" w:rsidRDefault="00E05765" w14:paraId="010A7AED" w14:textId="77777777">
      <w:r>
        <w:separator/>
      </w:r>
    </w:p>
  </w:footnote>
  <w:footnote w:type="continuationSeparator" w:id="0">
    <w:p w:rsidR="00E05765" w:rsidP="00FE158D" w:rsidRDefault="00E05765" w14:paraId="3744DC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A0649D"/>
    <w:multiLevelType w:val="hybridMultilevel"/>
    <w:tmpl w:val="418AA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02C27"/>
    <w:multiLevelType w:val="hybridMultilevel"/>
    <w:tmpl w:val="35349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67ED3"/>
    <w:multiLevelType w:val="hybridMultilevel"/>
    <w:tmpl w:val="5226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A7806"/>
    <w:multiLevelType w:val="hybridMultilevel"/>
    <w:tmpl w:val="4A087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C270B"/>
    <w:multiLevelType w:val="hybridMultilevel"/>
    <w:tmpl w:val="FE34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F0AC2"/>
    <w:multiLevelType w:val="hybridMultilevel"/>
    <w:tmpl w:val="C680D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74056CD"/>
    <w:multiLevelType w:val="multilevel"/>
    <w:tmpl w:val="59C8BBCA"/>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num w:numId="1" w16cid:durableId="1853062905">
    <w:abstractNumId w:val="2"/>
  </w:num>
  <w:num w:numId="2" w16cid:durableId="1411274273">
    <w:abstractNumId w:val="3"/>
  </w:num>
  <w:num w:numId="3" w16cid:durableId="1927765301">
    <w:abstractNumId w:val="5"/>
  </w:num>
  <w:num w:numId="4" w16cid:durableId="860706320">
    <w:abstractNumId w:val="1"/>
  </w:num>
  <w:num w:numId="5" w16cid:durableId="714818254">
    <w:abstractNumId w:val="4"/>
  </w:num>
  <w:num w:numId="6" w16cid:durableId="1631276551">
    <w:abstractNumId w:val="6"/>
  </w:num>
  <w:num w:numId="7" w16cid:durableId="20514149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37980"/>
    <w:rsid w:val="0004113C"/>
    <w:rsid w:val="00063E91"/>
    <w:rsid w:val="00066D50"/>
    <w:rsid w:val="000A264B"/>
    <w:rsid w:val="000B0803"/>
    <w:rsid w:val="000D380A"/>
    <w:rsid w:val="000D5B62"/>
    <w:rsid w:val="000E228A"/>
    <w:rsid w:val="000E6AD4"/>
    <w:rsid w:val="000F7E90"/>
    <w:rsid w:val="00102A96"/>
    <w:rsid w:val="00107BCF"/>
    <w:rsid w:val="001139B8"/>
    <w:rsid w:val="001221F3"/>
    <w:rsid w:val="0012309D"/>
    <w:rsid w:val="00131ACB"/>
    <w:rsid w:val="00144BE0"/>
    <w:rsid w:val="0015616F"/>
    <w:rsid w:val="00170AD2"/>
    <w:rsid w:val="00175D4D"/>
    <w:rsid w:val="00185739"/>
    <w:rsid w:val="0019504D"/>
    <w:rsid w:val="001D71E9"/>
    <w:rsid w:val="00227FC1"/>
    <w:rsid w:val="00234C60"/>
    <w:rsid w:val="002376A2"/>
    <w:rsid w:val="00274A27"/>
    <w:rsid w:val="002A7EA0"/>
    <w:rsid w:val="002C5F29"/>
    <w:rsid w:val="002D68EE"/>
    <w:rsid w:val="002E3D11"/>
    <w:rsid w:val="002F0AD1"/>
    <w:rsid w:val="002F282D"/>
    <w:rsid w:val="002F2B8A"/>
    <w:rsid w:val="003011C7"/>
    <w:rsid w:val="00301AA8"/>
    <w:rsid w:val="0031633A"/>
    <w:rsid w:val="00317996"/>
    <w:rsid w:val="0033490A"/>
    <w:rsid w:val="00372DF7"/>
    <w:rsid w:val="003734C7"/>
    <w:rsid w:val="00373CF0"/>
    <w:rsid w:val="00383C64"/>
    <w:rsid w:val="003A3E8D"/>
    <w:rsid w:val="003B0939"/>
    <w:rsid w:val="003F0C77"/>
    <w:rsid w:val="004004E4"/>
    <w:rsid w:val="00402197"/>
    <w:rsid w:val="004125BF"/>
    <w:rsid w:val="00416193"/>
    <w:rsid w:val="00416F96"/>
    <w:rsid w:val="004410E1"/>
    <w:rsid w:val="0044220A"/>
    <w:rsid w:val="00445D7B"/>
    <w:rsid w:val="0045171D"/>
    <w:rsid w:val="004613FA"/>
    <w:rsid w:val="00484844"/>
    <w:rsid w:val="005153D3"/>
    <w:rsid w:val="00515E7F"/>
    <w:rsid w:val="0052654A"/>
    <w:rsid w:val="00534CAA"/>
    <w:rsid w:val="0053732B"/>
    <w:rsid w:val="005438CB"/>
    <w:rsid w:val="00545D9B"/>
    <w:rsid w:val="00571175"/>
    <w:rsid w:val="005817E5"/>
    <w:rsid w:val="005915DF"/>
    <w:rsid w:val="00593437"/>
    <w:rsid w:val="00593E4B"/>
    <w:rsid w:val="005D434A"/>
    <w:rsid w:val="005F036A"/>
    <w:rsid w:val="006034EC"/>
    <w:rsid w:val="00603AC0"/>
    <w:rsid w:val="00605605"/>
    <w:rsid w:val="00610027"/>
    <w:rsid w:val="00622C56"/>
    <w:rsid w:val="006338B1"/>
    <w:rsid w:val="0066706B"/>
    <w:rsid w:val="00683901"/>
    <w:rsid w:val="006A3CC2"/>
    <w:rsid w:val="006B2ED2"/>
    <w:rsid w:val="006C7A0C"/>
    <w:rsid w:val="007054DD"/>
    <w:rsid w:val="00715D1E"/>
    <w:rsid w:val="007251EF"/>
    <w:rsid w:val="00740AF7"/>
    <w:rsid w:val="00746482"/>
    <w:rsid w:val="007813EA"/>
    <w:rsid w:val="00783084"/>
    <w:rsid w:val="007A45E1"/>
    <w:rsid w:val="007A61F1"/>
    <w:rsid w:val="007B65C4"/>
    <w:rsid w:val="007F26C3"/>
    <w:rsid w:val="00805910"/>
    <w:rsid w:val="008259FB"/>
    <w:rsid w:val="00830EB2"/>
    <w:rsid w:val="00831DF5"/>
    <w:rsid w:val="00862364"/>
    <w:rsid w:val="00883AD3"/>
    <w:rsid w:val="008E7224"/>
    <w:rsid w:val="008F1ABA"/>
    <w:rsid w:val="009040C7"/>
    <w:rsid w:val="009073EC"/>
    <w:rsid w:val="00945B7E"/>
    <w:rsid w:val="009478FB"/>
    <w:rsid w:val="00951B77"/>
    <w:rsid w:val="009854C3"/>
    <w:rsid w:val="009B7479"/>
    <w:rsid w:val="009C106D"/>
    <w:rsid w:val="009C3351"/>
    <w:rsid w:val="009C583E"/>
    <w:rsid w:val="009E6EC7"/>
    <w:rsid w:val="009F0488"/>
    <w:rsid w:val="00A0397D"/>
    <w:rsid w:val="00A039B0"/>
    <w:rsid w:val="00A25232"/>
    <w:rsid w:val="00A723F9"/>
    <w:rsid w:val="00A86993"/>
    <w:rsid w:val="00A9460A"/>
    <w:rsid w:val="00AA7C93"/>
    <w:rsid w:val="00AB677E"/>
    <w:rsid w:val="00AC0FC3"/>
    <w:rsid w:val="00B019EA"/>
    <w:rsid w:val="00B24FB4"/>
    <w:rsid w:val="00BB507F"/>
    <w:rsid w:val="00BC79D8"/>
    <w:rsid w:val="00BE6F6E"/>
    <w:rsid w:val="00C0102E"/>
    <w:rsid w:val="00C134CC"/>
    <w:rsid w:val="00C170A5"/>
    <w:rsid w:val="00C450B5"/>
    <w:rsid w:val="00C47D16"/>
    <w:rsid w:val="00C54FD0"/>
    <w:rsid w:val="00C71D53"/>
    <w:rsid w:val="00C82867"/>
    <w:rsid w:val="00CB378D"/>
    <w:rsid w:val="00CC2821"/>
    <w:rsid w:val="00CE4291"/>
    <w:rsid w:val="00CE786A"/>
    <w:rsid w:val="00D2277C"/>
    <w:rsid w:val="00D93BB2"/>
    <w:rsid w:val="00DB6D68"/>
    <w:rsid w:val="00DB7A52"/>
    <w:rsid w:val="00DC2425"/>
    <w:rsid w:val="00DC40AB"/>
    <w:rsid w:val="00DC41D9"/>
    <w:rsid w:val="00DD506E"/>
    <w:rsid w:val="00DE7AF9"/>
    <w:rsid w:val="00DF4F15"/>
    <w:rsid w:val="00E05765"/>
    <w:rsid w:val="00E42F64"/>
    <w:rsid w:val="00E4366C"/>
    <w:rsid w:val="00E66BB5"/>
    <w:rsid w:val="00E90632"/>
    <w:rsid w:val="00E94EC6"/>
    <w:rsid w:val="00EA1C70"/>
    <w:rsid w:val="00ED6153"/>
    <w:rsid w:val="00EE0E87"/>
    <w:rsid w:val="00EE219D"/>
    <w:rsid w:val="00EF0A00"/>
    <w:rsid w:val="00F5332B"/>
    <w:rsid w:val="00F81C57"/>
    <w:rsid w:val="00FA2473"/>
    <w:rsid w:val="00FA4BE2"/>
    <w:rsid w:val="00FB157C"/>
    <w:rsid w:val="00FC03F0"/>
    <w:rsid w:val="00FE158D"/>
    <w:rsid w:val="54D4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13C"/>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9040C7"/>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styleId="CommentSubjectChar" w:customStyle="1">
    <w:name w:val="Comment Subject Char"/>
    <w:basedOn w:val="CommentTextChar"/>
    <w:link w:val="CommentSubject"/>
    <w:uiPriority w:val="99"/>
    <w:semiHidden/>
    <w:rsid w:val="00107BCF"/>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Heading1Char" w:customStyle="1">
    <w:name w:val="Heading 1 Char"/>
    <w:basedOn w:val="DefaultParagraphFont"/>
    <w:link w:val="Heading1"/>
    <w:uiPriority w:val="9"/>
    <w:rsid w:val="009040C7"/>
    <w:rPr>
      <w:rFonts w:ascii="Times New Roman" w:hAnsi="Times New Roman" w:eastAsia="Times New Roman" w:cs="Times New Roman"/>
      <w:b/>
      <w:bCs/>
      <w:kern w:val="36"/>
      <w:sz w:val="48"/>
      <w:szCs w:val="48"/>
    </w:rPr>
  </w:style>
  <w:style w:type="paragraph" w:styleId="NormalWeb">
    <w:name w:val="Normal (Web)"/>
    <w:basedOn w:val="Normal"/>
    <w:uiPriority w:val="99"/>
    <w:semiHidden/>
    <w:unhideWhenUsed/>
    <w:rsid w:val="00A0397D"/>
    <w:pPr>
      <w:spacing w:before="100" w:beforeAutospacing="1" w:after="100" w:afterAutospacing="1"/>
    </w:pPr>
  </w:style>
  <w:style w:type="character" w:styleId="Strong">
    <w:name w:val="Strong"/>
    <w:basedOn w:val="DefaultParagraphFont"/>
    <w:uiPriority w:val="22"/>
    <w:qFormat/>
    <w:rsid w:val="001D7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2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85813355">
      <w:bodyDiv w:val="1"/>
      <w:marLeft w:val="0"/>
      <w:marRight w:val="0"/>
      <w:marTop w:val="0"/>
      <w:marBottom w:val="0"/>
      <w:divBdr>
        <w:top w:val="none" w:sz="0" w:space="0" w:color="auto"/>
        <w:left w:val="none" w:sz="0" w:space="0" w:color="auto"/>
        <w:bottom w:val="none" w:sz="0" w:space="0" w:color="auto"/>
        <w:right w:val="none" w:sz="0" w:space="0" w:color="auto"/>
      </w:divBdr>
    </w:div>
    <w:div w:id="1141267180">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56948920">
      <w:bodyDiv w:val="1"/>
      <w:marLeft w:val="0"/>
      <w:marRight w:val="0"/>
      <w:marTop w:val="0"/>
      <w:marBottom w:val="0"/>
      <w:divBdr>
        <w:top w:val="none" w:sz="0" w:space="0" w:color="auto"/>
        <w:left w:val="none" w:sz="0" w:space="0" w:color="auto"/>
        <w:bottom w:val="none" w:sz="0" w:space="0" w:color="auto"/>
        <w:right w:val="none" w:sz="0" w:space="0" w:color="auto"/>
      </w:divBdr>
    </w:div>
    <w:div w:id="1558588440">
      <w:bodyDiv w:val="1"/>
      <w:marLeft w:val="0"/>
      <w:marRight w:val="0"/>
      <w:marTop w:val="0"/>
      <w:marBottom w:val="0"/>
      <w:divBdr>
        <w:top w:val="none" w:sz="0" w:space="0" w:color="auto"/>
        <w:left w:val="none" w:sz="0" w:space="0" w:color="auto"/>
        <w:bottom w:val="none" w:sz="0" w:space="0" w:color="auto"/>
        <w:right w:val="none" w:sz="0" w:space="0" w:color="auto"/>
      </w:divBdr>
    </w:div>
    <w:div w:id="1657033916">
      <w:bodyDiv w:val="1"/>
      <w:marLeft w:val="0"/>
      <w:marRight w:val="0"/>
      <w:marTop w:val="0"/>
      <w:marBottom w:val="0"/>
      <w:divBdr>
        <w:top w:val="none" w:sz="0" w:space="0" w:color="auto"/>
        <w:left w:val="none" w:sz="0" w:space="0" w:color="auto"/>
        <w:bottom w:val="none" w:sz="0" w:space="0" w:color="auto"/>
        <w:right w:val="none" w:sz="0" w:space="0" w:color="auto"/>
      </w:divBdr>
    </w:div>
    <w:div w:id="18005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ovid.cdc.gov/covid-data-tracker/" TargetMode="External" Id="rId8" /><Relationship Type="http://schemas.openxmlformats.org/officeDocument/2006/relationships/hyperlink" Target="https://www.cdc.gov/coronavirus/2019-ncov/hcp/ppe-strategy/face-masks.html" TargetMode="External" Id="rId13" /><Relationship Type="http://schemas.openxmlformats.org/officeDocument/2006/relationships/hyperlink" Target="https://www.cms.gov/files/document/qso-20-39-nh-revised.pdf"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cdc.gov/coronavirus/2019-ncov/hcp/mitigating-staff-shortages.html" TargetMode="External" Id="rId21" /><Relationship Type="http://schemas.openxmlformats.org/officeDocument/2006/relationships/endnotes" Target="endnotes.xml" Id="rId7" /><Relationship Type="http://schemas.openxmlformats.org/officeDocument/2006/relationships/hyperlink" Target="https://www.cms.gov/files/document/qso-20-39-nh-revised.pdf" TargetMode="External" Id="rId12" /><Relationship Type="http://schemas.openxmlformats.org/officeDocument/2006/relationships/hyperlink" Target="https://www.cdc.gov/media/releases/2022/p0811-covid-guidance.html"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cdc.gov/coronavirus/2019-ncov/hcp/infection-control-recommendations.html" TargetMode="External" Id="rId16" /><Relationship Type="http://schemas.openxmlformats.org/officeDocument/2006/relationships/hyperlink" Target="https://www.cms.gov/medicare/provider-enrollment-and-certification/guidanceforlawsandregulations/nursing-home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media/releases/2022/p0811-covid-guidance.html" TargetMode="External" Id="rId11" /><Relationship Type="http://schemas.openxmlformats.org/officeDocument/2006/relationships/header" Target="header2.xml" Id="rId24" /><Relationship Type="http://schemas.openxmlformats.org/officeDocument/2006/relationships/webSettings" Target="webSettings.xml" Id="rId5" /><Relationship Type="http://schemas.openxmlformats.org/officeDocument/2006/relationships/hyperlink" Target="https://www.cms.gov/medicare/provider-enrollment-and-certification/guidanceforlawsandregulations/nursing-homes" TargetMode="External" Id="rId15" /><Relationship Type="http://schemas.openxmlformats.org/officeDocument/2006/relationships/footer" Target="footer1.xml" Id="rId23" /><Relationship Type="http://schemas.openxmlformats.org/officeDocument/2006/relationships/hyperlink" Target="https://www.cdc.gov/coronavirus/2019-ncov/hcp/infection-control-recommendations.html" TargetMode="External" Id="rId10" /><Relationship Type="http://schemas.openxmlformats.org/officeDocument/2006/relationships/hyperlink" Target="https://www.cms.gov/files/docuent/appendix-pp-guidance-surveyor-long-term-care-facilities.pdf" TargetMode="External" Id="rId19" /><Relationship Type="http://schemas.openxmlformats.org/officeDocument/2006/relationships/settings" Target="settings.xml" Id="rId4" /><Relationship Type="http://schemas.openxmlformats.org/officeDocument/2006/relationships/hyperlink" Target="https://covid.cdc.gov/covid-data-tracker/" TargetMode="External" Id="rId9" /><Relationship Type="http://schemas.openxmlformats.org/officeDocument/2006/relationships/hyperlink" Target="https://www.cms.gov/files/docuent/appendix-pp-guidance-surveyor-long-term-care-facilities.pdf"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D58E-C20A-4141-A8E4-64CB4DFC5E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7</revision>
  <dcterms:created xsi:type="dcterms:W3CDTF">2022-12-06T18:26:00.0000000Z</dcterms:created>
  <dcterms:modified xsi:type="dcterms:W3CDTF">2023-04-04T17:55:32.2265557Z</dcterms:modified>
</coreProperties>
</file>