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430D682C" w14:textId="77777777" w:rsidR="00851DD7" w:rsidRPr="00851DD7" w:rsidRDefault="00851DD7" w:rsidP="00851DD7">
                            <w:pPr>
                              <w:rPr>
                                <w:rFonts w:asciiTheme="minorHAnsi" w:hAnsiTheme="minorHAnsi" w:cstheme="minorHAnsi"/>
                                <w:b/>
                                <w:bCs/>
                                <w:color w:val="FFFFFF" w:themeColor="background1"/>
                                <w:sz w:val="72"/>
                                <w:szCs w:val="72"/>
                              </w:rPr>
                            </w:pPr>
                            <w:r w:rsidRPr="00851DD7">
                              <w:rPr>
                                <w:rFonts w:asciiTheme="minorHAnsi" w:hAnsiTheme="minorHAnsi" w:cstheme="minorHAnsi"/>
                                <w:b/>
                                <w:bCs/>
                                <w:color w:val="FFFFFF" w:themeColor="background1"/>
                                <w:sz w:val="72"/>
                                <w:szCs w:val="72"/>
                              </w:rPr>
                              <w:t>IDT Staff Competencies for MDS Changes</w:t>
                            </w:r>
                          </w:p>
                          <w:p w14:paraId="746231BA" w14:textId="77777777" w:rsidR="00851DD7" w:rsidRPr="00851DD7" w:rsidRDefault="00851DD7" w:rsidP="00851DD7">
                            <w:pPr>
                              <w:rPr>
                                <w:rFonts w:asciiTheme="minorHAnsi" w:hAnsiTheme="minorHAnsi" w:cstheme="minorHAnsi"/>
                                <w:b/>
                                <w:bCs/>
                                <w:color w:val="FFFFFF" w:themeColor="background1"/>
                                <w:sz w:val="72"/>
                                <w:szCs w:val="72"/>
                              </w:rPr>
                            </w:pPr>
                            <w:r w:rsidRPr="00851DD7">
                              <w:rPr>
                                <w:rFonts w:asciiTheme="minorHAnsi" w:hAnsiTheme="minorHAnsi" w:cstheme="minorHAnsi"/>
                                <w:b/>
                                <w:bCs/>
                                <w:color w:val="FFFFFF" w:themeColor="background1"/>
                                <w:sz w:val="72"/>
                                <w:szCs w:val="72"/>
                              </w:rPr>
                              <w:t>Overview and Explanation</w:t>
                            </w:r>
                          </w:p>
                          <w:p w14:paraId="1D81C442" w14:textId="6B1C9858" w:rsidR="009C7954" w:rsidRPr="00C82867" w:rsidRDefault="009C7954" w:rsidP="00851DD7">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430D682C" w14:textId="77777777" w:rsidR="00851DD7" w:rsidRPr="00851DD7" w:rsidRDefault="00851DD7" w:rsidP="00851DD7">
                      <w:pPr>
                        <w:rPr>
                          <w:rFonts w:asciiTheme="minorHAnsi" w:hAnsiTheme="minorHAnsi" w:cstheme="minorHAnsi"/>
                          <w:b/>
                          <w:bCs/>
                          <w:color w:val="FFFFFF" w:themeColor="background1"/>
                          <w:sz w:val="72"/>
                          <w:szCs w:val="72"/>
                        </w:rPr>
                      </w:pPr>
                      <w:r w:rsidRPr="00851DD7">
                        <w:rPr>
                          <w:rFonts w:asciiTheme="minorHAnsi" w:hAnsiTheme="minorHAnsi" w:cstheme="minorHAnsi"/>
                          <w:b/>
                          <w:bCs/>
                          <w:color w:val="FFFFFF" w:themeColor="background1"/>
                          <w:sz w:val="72"/>
                          <w:szCs w:val="72"/>
                        </w:rPr>
                        <w:t>IDT Staff Competencies for MDS Changes</w:t>
                      </w:r>
                    </w:p>
                    <w:p w14:paraId="746231BA" w14:textId="77777777" w:rsidR="00851DD7" w:rsidRPr="00851DD7" w:rsidRDefault="00851DD7" w:rsidP="00851DD7">
                      <w:pPr>
                        <w:rPr>
                          <w:rFonts w:asciiTheme="minorHAnsi" w:hAnsiTheme="minorHAnsi" w:cstheme="minorHAnsi"/>
                          <w:b/>
                          <w:bCs/>
                          <w:color w:val="FFFFFF" w:themeColor="background1"/>
                          <w:sz w:val="72"/>
                          <w:szCs w:val="72"/>
                        </w:rPr>
                      </w:pPr>
                      <w:r w:rsidRPr="00851DD7">
                        <w:rPr>
                          <w:rFonts w:asciiTheme="minorHAnsi" w:hAnsiTheme="minorHAnsi" w:cstheme="minorHAnsi"/>
                          <w:b/>
                          <w:bCs/>
                          <w:color w:val="FFFFFF" w:themeColor="background1"/>
                          <w:sz w:val="72"/>
                          <w:szCs w:val="72"/>
                        </w:rPr>
                        <w:t>Overview and Explanation</w:t>
                      </w:r>
                    </w:p>
                    <w:p w14:paraId="1D81C442" w14:textId="6B1C9858" w:rsidR="009C7954" w:rsidRPr="00C82867" w:rsidRDefault="009C7954" w:rsidP="00851DD7">
                      <w:pPr>
                        <w:rPr>
                          <w:rFonts w:ascii="Calibri" w:hAnsi="Calibri"/>
                          <w:b/>
                          <w:color w:val="FFFFFF" w:themeColor="background1"/>
                          <w:sz w:val="48"/>
                          <w:szCs w:val="48"/>
                        </w:rPr>
                      </w:pP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6DB0B381" w14:textId="77777777" w:rsidR="00851DD7" w:rsidRPr="00851DD7" w:rsidRDefault="00851DD7" w:rsidP="00851DD7">
      <w:pPr>
        <w:jc w:val="center"/>
        <w:rPr>
          <w:rFonts w:asciiTheme="minorHAnsi" w:hAnsiTheme="minorHAnsi" w:cstheme="minorHAnsi"/>
          <w:b/>
          <w:bCs/>
          <w:szCs w:val="24"/>
        </w:rPr>
      </w:pPr>
      <w:r w:rsidRPr="00851DD7">
        <w:rPr>
          <w:rFonts w:asciiTheme="minorHAnsi" w:hAnsiTheme="minorHAnsi" w:cstheme="minorHAnsi"/>
          <w:b/>
          <w:bCs/>
          <w:szCs w:val="24"/>
        </w:rPr>
        <w:t>Interdisciplinary Team (IDT) Staff Competencies for MDS Changes</w:t>
      </w:r>
    </w:p>
    <w:p w14:paraId="2EE3498F" w14:textId="77777777" w:rsidR="00851DD7" w:rsidRPr="00851DD7" w:rsidRDefault="00851DD7" w:rsidP="00851DD7">
      <w:pPr>
        <w:jc w:val="center"/>
        <w:rPr>
          <w:rFonts w:asciiTheme="minorHAnsi" w:hAnsiTheme="minorHAnsi" w:cstheme="minorHAnsi"/>
          <w:b/>
          <w:bCs/>
          <w:szCs w:val="24"/>
        </w:rPr>
      </w:pPr>
      <w:r w:rsidRPr="00851DD7">
        <w:rPr>
          <w:rFonts w:asciiTheme="minorHAnsi" w:hAnsiTheme="minorHAnsi" w:cstheme="minorHAnsi"/>
          <w:b/>
          <w:bCs/>
          <w:szCs w:val="24"/>
        </w:rPr>
        <w:t>Overview and Explanation</w:t>
      </w:r>
    </w:p>
    <w:p w14:paraId="6089C9CA" w14:textId="77777777" w:rsidR="00851DD7" w:rsidRPr="00851DD7" w:rsidRDefault="00851DD7" w:rsidP="00851DD7">
      <w:pPr>
        <w:rPr>
          <w:rFonts w:asciiTheme="minorHAnsi" w:hAnsiTheme="minorHAnsi" w:cstheme="minorHAnsi"/>
          <w:b/>
          <w:bCs/>
          <w:szCs w:val="24"/>
        </w:rPr>
      </w:pPr>
    </w:p>
    <w:p w14:paraId="210F383B" w14:textId="77777777" w:rsidR="00851DD7" w:rsidRPr="00851DD7" w:rsidRDefault="00851DD7" w:rsidP="00851DD7">
      <w:pPr>
        <w:rPr>
          <w:rFonts w:asciiTheme="minorHAnsi" w:hAnsiTheme="minorHAnsi" w:cstheme="minorHAnsi"/>
          <w:szCs w:val="24"/>
        </w:rPr>
      </w:pPr>
    </w:p>
    <w:p w14:paraId="5FECEDD9" w14:textId="77777777" w:rsidR="00851DD7" w:rsidRPr="00851DD7" w:rsidRDefault="00851DD7" w:rsidP="00851DD7">
      <w:pPr>
        <w:rPr>
          <w:rFonts w:asciiTheme="minorHAnsi" w:hAnsiTheme="minorHAnsi" w:cstheme="minorHAnsi"/>
          <w:szCs w:val="24"/>
        </w:rPr>
      </w:pPr>
      <w:r w:rsidRPr="00851DD7">
        <w:rPr>
          <w:rFonts w:asciiTheme="minorHAnsi" w:hAnsiTheme="minorHAnsi" w:cstheme="minorHAnsi"/>
          <w:szCs w:val="24"/>
        </w:rPr>
        <w:t xml:space="preserve">Planning, preparing, and delivering education to the Interdisciplinary Team (IDT) on the changes and updates will be critical for quality, compliance, reimbursement, data-driven </w:t>
      </w:r>
      <w:proofErr w:type="gramStart"/>
      <w:r w:rsidRPr="00851DD7">
        <w:rPr>
          <w:rFonts w:asciiTheme="minorHAnsi" w:hAnsiTheme="minorHAnsi" w:cstheme="minorHAnsi"/>
          <w:szCs w:val="24"/>
        </w:rPr>
        <w:t>measures</w:t>
      </w:r>
      <w:proofErr w:type="gramEnd"/>
      <w:r w:rsidRPr="00851DD7">
        <w:rPr>
          <w:rFonts w:asciiTheme="minorHAnsi" w:hAnsiTheme="minorHAnsi" w:cstheme="minorHAnsi"/>
          <w:szCs w:val="24"/>
        </w:rPr>
        <w:t xml:space="preserve"> and decisions, and more. Education will need to include both a solid orientation and preparation of an ongoing annual training plan.  As part of this plan, it is recommended that facilities implement competencies to identify that staff can consistently perform the necessary procedures proficiently.  In addition, part of the facility training plan should include a system to evaluate additional education needs.  </w:t>
      </w:r>
    </w:p>
    <w:p w14:paraId="1F6D8370" w14:textId="77777777" w:rsidR="00851DD7" w:rsidRPr="00851DD7" w:rsidRDefault="00851DD7" w:rsidP="00851DD7">
      <w:pPr>
        <w:rPr>
          <w:rFonts w:asciiTheme="minorHAnsi" w:hAnsiTheme="minorHAnsi" w:cstheme="minorHAnsi"/>
          <w:szCs w:val="24"/>
        </w:rPr>
      </w:pPr>
    </w:p>
    <w:p w14:paraId="47581EDA" w14:textId="77777777" w:rsidR="00851DD7" w:rsidRPr="00851DD7" w:rsidRDefault="00851DD7" w:rsidP="00851DD7">
      <w:pPr>
        <w:rPr>
          <w:rFonts w:asciiTheme="minorHAnsi" w:hAnsiTheme="minorHAnsi" w:cstheme="minorHAnsi"/>
          <w:szCs w:val="24"/>
        </w:rPr>
      </w:pPr>
    </w:p>
    <w:tbl>
      <w:tblPr>
        <w:tblStyle w:val="TableGrid"/>
        <w:tblW w:w="10170" w:type="dxa"/>
        <w:tblInd w:w="-455" w:type="dxa"/>
        <w:tblLayout w:type="fixed"/>
        <w:tblLook w:val="04A0" w:firstRow="1" w:lastRow="0" w:firstColumn="1" w:lastColumn="0" w:noHBand="0" w:noVBand="1"/>
      </w:tblPr>
      <w:tblGrid>
        <w:gridCol w:w="2880"/>
        <w:gridCol w:w="4230"/>
        <w:gridCol w:w="3060"/>
      </w:tblGrid>
      <w:tr w:rsidR="00851DD7" w:rsidRPr="00851DD7" w14:paraId="4335178D" w14:textId="77777777" w:rsidTr="006D20B7">
        <w:trPr>
          <w:tblHeader/>
        </w:trPr>
        <w:tc>
          <w:tcPr>
            <w:tcW w:w="2880" w:type="dxa"/>
            <w:shd w:val="clear" w:color="auto" w:fill="D0CECE" w:themeFill="background2" w:themeFillShade="E6"/>
          </w:tcPr>
          <w:p w14:paraId="1AA46FC2" w14:textId="77777777" w:rsidR="00851DD7" w:rsidRPr="00851DD7" w:rsidRDefault="00851DD7" w:rsidP="006D20B7">
            <w:pPr>
              <w:jc w:val="center"/>
              <w:rPr>
                <w:rFonts w:asciiTheme="minorHAnsi" w:hAnsiTheme="minorHAnsi" w:cstheme="minorHAnsi"/>
                <w:b/>
                <w:bCs/>
                <w:szCs w:val="24"/>
              </w:rPr>
            </w:pPr>
            <w:r w:rsidRPr="00851DD7">
              <w:rPr>
                <w:rFonts w:asciiTheme="minorHAnsi" w:hAnsiTheme="minorHAnsi" w:cstheme="minorHAnsi"/>
                <w:b/>
                <w:bCs/>
                <w:szCs w:val="24"/>
              </w:rPr>
              <w:t xml:space="preserve">Education and/or Competency </w:t>
            </w:r>
          </w:p>
        </w:tc>
        <w:tc>
          <w:tcPr>
            <w:tcW w:w="4230" w:type="dxa"/>
            <w:shd w:val="clear" w:color="auto" w:fill="D0CECE" w:themeFill="background2" w:themeFillShade="E6"/>
          </w:tcPr>
          <w:p w14:paraId="316021CC" w14:textId="77777777" w:rsidR="00851DD7" w:rsidRPr="00851DD7" w:rsidRDefault="00851DD7" w:rsidP="006D20B7">
            <w:pPr>
              <w:jc w:val="center"/>
              <w:rPr>
                <w:rFonts w:asciiTheme="minorHAnsi" w:hAnsiTheme="minorHAnsi" w:cstheme="minorHAnsi"/>
                <w:b/>
                <w:bCs/>
                <w:szCs w:val="24"/>
              </w:rPr>
            </w:pPr>
            <w:r w:rsidRPr="00851DD7">
              <w:rPr>
                <w:rFonts w:asciiTheme="minorHAnsi" w:hAnsiTheme="minorHAnsi" w:cstheme="minorHAnsi"/>
                <w:b/>
                <w:bCs/>
                <w:szCs w:val="24"/>
              </w:rPr>
              <w:t>Description</w:t>
            </w:r>
          </w:p>
        </w:tc>
        <w:tc>
          <w:tcPr>
            <w:tcW w:w="3060" w:type="dxa"/>
            <w:shd w:val="clear" w:color="auto" w:fill="D0CECE" w:themeFill="background2" w:themeFillShade="E6"/>
          </w:tcPr>
          <w:p w14:paraId="4FFD4B0D" w14:textId="77777777" w:rsidR="00851DD7" w:rsidRPr="00851DD7" w:rsidRDefault="00851DD7" w:rsidP="006D20B7">
            <w:pPr>
              <w:jc w:val="center"/>
              <w:rPr>
                <w:rFonts w:asciiTheme="minorHAnsi" w:hAnsiTheme="minorHAnsi" w:cstheme="minorHAnsi"/>
                <w:b/>
                <w:bCs/>
                <w:szCs w:val="24"/>
              </w:rPr>
            </w:pPr>
            <w:r w:rsidRPr="00851DD7">
              <w:rPr>
                <w:rFonts w:asciiTheme="minorHAnsi" w:hAnsiTheme="minorHAnsi" w:cstheme="minorHAnsi"/>
                <w:b/>
                <w:bCs/>
                <w:szCs w:val="24"/>
              </w:rPr>
              <w:t>Interdisciplinary Members Recommended</w:t>
            </w:r>
          </w:p>
        </w:tc>
      </w:tr>
      <w:tr w:rsidR="00851DD7" w:rsidRPr="00851DD7" w14:paraId="272CE298" w14:textId="77777777" w:rsidTr="006D20B7">
        <w:tc>
          <w:tcPr>
            <w:tcW w:w="2880" w:type="dxa"/>
          </w:tcPr>
          <w:p w14:paraId="66D5504A" w14:textId="77777777" w:rsidR="00851DD7" w:rsidRPr="00851DD7" w:rsidRDefault="00851DD7" w:rsidP="006D20B7">
            <w:pPr>
              <w:rPr>
                <w:rFonts w:asciiTheme="minorHAnsi" w:hAnsiTheme="minorHAnsi" w:cstheme="minorHAnsi"/>
                <w:b/>
                <w:bCs/>
                <w:szCs w:val="24"/>
              </w:rPr>
            </w:pPr>
            <w:r w:rsidRPr="00851DD7">
              <w:rPr>
                <w:rFonts w:asciiTheme="minorHAnsi" w:hAnsiTheme="minorHAnsi" w:cstheme="minorHAnsi"/>
                <w:b/>
                <w:bCs/>
                <w:szCs w:val="24"/>
              </w:rPr>
              <w:t>MDS October 2023 Changes Overview for Leadership and IDT</w:t>
            </w:r>
          </w:p>
        </w:tc>
        <w:tc>
          <w:tcPr>
            <w:tcW w:w="4230" w:type="dxa"/>
          </w:tcPr>
          <w:p w14:paraId="20761F72"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Overview of changes and rationale</w:t>
            </w:r>
          </w:p>
          <w:p w14:paraId="6EA115DA"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2023 SNF PPS Final Rule:</w:t>
            </w:r>
          </w:p>
          <w:p w14:paraId="34D04A4D" w14:textId="77777777" w:rsidR="00851DD7" w:rsidRPr="00851DD7" w:rsidRDefault="00851DD7" w:rsidP="00851DD7">
            <w:pPr>
              <w:pStyle w:val="ListParagraph"/>
              <w:numPr>
                <w:ilvl w:val="1"/>
                <w:numId w:val="38"/>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Updates to the Quality Reporting Program (QRP)</w:t>
            </w:r>
          </w:p>
          <w:p w14:paraId="35BF3A6C" w14:textId="77777777" w:rsidR="00851DD7" w:rsidRPr="00851DD7" w:rsidRDefault="00851DD7" w:rsidP="00851DD7">
            <w:pPr>
              <w:pStyle w:val="ListParagraph"/>
              <w:numPr>
                <w:ilvl w:val="1"/>
                <w:numId w:val="38"/>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Updates to Value-Based Purchasing Program (VBP)</w:t>
            </w:r>
          </w:p>
          <w:p w14:paraId="043121E5" w14:textId="77777777" w:rsidR="00851DD7" w:rsidRPr="00851DD7" w:rsidRDefault="00851DD7" w:rsidP="00851DD7">
            <w:pPr>
              <w:pStyle w:val="ListParagraph"/>
              <w:numPr>
                <w:ilvl w:val="1"/>
                <w:numId w:val="38"/>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Recalibration of PDPM</w:t>
            </w:r>
          </w:p>
          <w:p w14:paraId="6BEE0DCE" w14:textId="77777777" w:rsidR="00851DD7" w:rsidRPr="00851DD7" w:rsidRDefault="00851DD7" w:rsidP="00851DD7">
            <w:pPr>
              <w:pStyle w:val="ListParagraph"/>
              <w:numPr>
                <w:ilvl w:val="1"/>
                <w:numId w:val="38"/>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Changes to PDPM ICD-10 Code Mapping</w:t>
            </w:r>
          </w:p>
          <w:p w14:paraId="269479D8"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MDS changes</w:t>
            </w:r>
          </w:p>
          <w:p w14:paraId="29131D6D"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A</w:t>
            </w:r>
          </w:p>
          <w:p w14:paraId="5D5C9CC9"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Race, Ethnicity</w:t>
            </w:r>
          </w:p>
          <w:p w14:paraId="44F7C215"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Med Reconciliation</w:t>
            </w:r>
          </w:p>
          <w:p w14:paraId="6FDD6B27"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Transportation</w:t>
            </w:r>
          </w:p>
          <w:p w14:paraId="1C64BAF8"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 xml:space="preserve">Section B </w:t>
            </w:r>
          </w:p>
          <w:p w14:paraId="5F65830D"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Health Literacy</w:t>
            </w:r>
          </w:p>
          <w:p w14:paraId="54616416"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D</w:t>
            </w:r>
          </w:p>
          <w:p w14:paraId="37497C14"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Resident Mood Interview</w:t>
            </w:r>
          </w:p>
          <w:p w14:paraId="1929EE2C"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Social Isolation</w:t>
            </w:r>
          </w:p>
          <w:p w14:paraId="78A2DED4"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GG</w:t>
            </w:r>
          </w:p>
          <w:p w14:paraId="1B4B6AD9"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lastRenderedPageBreak/>
              <w:t>Updates, Coding, Documentation</w:t>
            </w:r>
          </w:p>
          <w:p w14:paraId="374EB5D0"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J</w:t>
            </w:r>
          </w:p>
          <w:p w14:paraId="61A1C221"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Pain Interview</w:t>
            </w:r>
          </w:p>
          <w:p w14:paraId="15A15677"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Pain Interference with Therapy Activities</w:t>
            </w:r>
          </w:p>
          <w:p w14:paraId="697ECAFA"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Paint Interference with Day-Day Activities</w:t>
            </w:r>
          </w:p>
          <w:p w14:paraId="403DB80E"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K</w:t>
            </w:r>
          </w:p>
          <w:p w14:paraId="1ACAC5C2"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Accuracy with Coding</w:t>
            </w:r>
          </w:p>
          <w:p w14:paraId="701160B1"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M</w:t>
            </w:r>
          </w:p>
          <w:p w14:paraId="65B74F80"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Kennedy Ulcers</w:t>
            </w:r>
          </w:p>
          <w:p w14:paraId="4471BC3D"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N</w:t>
            </w:r>
          </w:p>
          <w:p w14:paraId="5A4F48B9"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Updates to High-Risk Drug Classes</w:t>
            </w:r>
          </w:p>
          <w:p w14:paraId="2EA5D5D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O</w:t>
            </w:r>
          </w:p>
          <w:p w14:paraId="2B0A9EBC"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Special Treatments, Procedures, and Programs</w:t>
            </w:r>
          </w:p>
          <w:p w14:paraId="51785A27"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 xml:space="preserve">Section Q </w:t>
            </w:r>
          </w:p>
          <w:p w14:paraId="11276B6E"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Participation in Goal Setting</w:t>
            </w:r>
          </w:p>
          <w:p w14:paraId="30510599" w14:textId="77777777" w:rsidR="00851DD7" w:rsidRPr="00851DD7" w:rsidRDefault="00851DD7" w:rsidP="00851DD7">
            <w:pPr>
              <w:pStyle w:val="ListParagraph"/>
              <w:numPr>
                <w:ilvl w:val="2"/>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Discharge Planning</w:t>
            </w:r>
          </w:p>
          <w:p w14:paraId="2F507F9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Care Area Assessment</w:t>
            </w:r>
          </w:p>
          <w:p w14:paraId="3E3CC3B7"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Preparation – Organizational Strategies</w:t>
            </w:r>
          </w:p>
        </w:tc>
        <w:tc>
          <w:tcPr>
            <w:tcW w:w="3060" w:type="dxa"/>
          </w:tcPr>
          <w:p w14:paraId="3C2D0BDD" w14:textId="77777777" w:rsidR="00851DD7" w:rsidRPr="00851DD7" w:rsidRDefault="00851DD7" w:rsidP="006D20B7">
            <w:pPr>
              <w:rPr>
                <w:rFonts w:asciiTheme="minorHAnsi" w:hAnsiTheme="minorHAnsi" w:cstheme="minorHAnsi"/>
                <w:i/>
                <w:iCs/>
                <w:szCs w:val="24"/>
              </w:rPr>
            </w:pPr>
            <w:r w:rsidRPr="00851DD7">
              <w:rPr>
                <w:rFonts w:asciiTheme="minorHAnsi" w:hAnsiTheme="minorHAnsi" w:cstheme="minorHAnsi"/>
                <w:i/>
                <w:iCs/>
                <w:szCs w:val="24"/>
              </w:rPr>
              <w:lastRenderedPageBreak/>
              <w:t>Leadership and the interdisciplinary team members involved in the completion and/or the oversight of the RAI Process</w:t>
            </w:r>
          </w:p>
        </w:tc>
      </w:tr>
      <w:tr w:rsidR="00851DD7" w:rsidRPr="00851DD7" w14:paraId="20512130" w14:textId="77777777" w:rsidTr="006D20B7">
        <w:tc>
          <w:tcPr>
            <w:tcW w:w="2880" w:type="dxa"/>
          </w:tcPr>
          <w:p w14:paraId="7FFDBBBB" w14:textId="77777777" w:rsidR="00851DD7" w:rsidRPr="00851DD7" w:rsidRDefault="00851DD7" w:rsidP="006D20B7">
            <w:pPr>
              <w:rPr>
                <w:rFonts w:asciiTheme="minorHAnsi" w:hAnsiTheme="minorHAnsi" w:cstheme="minorHAnsi"/>
                <w:b/>
                <w:bCs/>
                <w:szCs w:val="24"/>
              </w:rPr>
            </w:pPr>
            <w:r w:rsidRPr="00851DD7">
              <w:rPr>
                <w:rFonts w:asciiTheme="minorHAnsi" w:hAnsiTheme="minorHAnsi" w:cstheme="minorHAnsi"/>
                <w:b/>
                <w:bCs/>
                <w:szCs w:val="24"/>
              </w:rPr>
              <w:t>Section GG Training</w:t>
            </w:r>
          </w:p>
          <w:p w14:paraId="4417DEF5" w14:textId="77777777" w:rsidR="00851DD7" w:rsidRPr="00851DD7" w:rsidRDefault="00851DD7" w:rsidP="006D20B7">
            <w:pPr>
              <w:rPr>
                <w:rFonts w:asciiTheme="minorHAnsi" w:hAnsiTheme="minorHAnsi" w:cstheme="minorHAnsi"/>
                <w:szCs w:val="24"/>
              </w:rPr>
            </w:pPr>
          </w:p>
          <w:p w14:paraId="62D137BE" w14:textId="77777777" w:rsidR="00851DD7" w:rsidRPr="00851DD7" w:rsidRDefault="00851DD7" w:rsidP="006D20B7">
            <w:pPr>
              <w:rPr>
                <w:rFonts w:asciiTheme="minorHAnsi" w:hAnsiTheme="minorHAnsi" w:cstheme="minorHAnsi"/>
                <w:szCs w:val="24"/>
              </w:rPr>
            </w:pPr>
            <w:r w:rsidRPr="00851DD7">
              <w:rPr>
                <w:rFonts w:asciiTheme="minorHAnsi" w:hAnsiTheme="minorHAnsi" w:cstheme="minorHAnsi"/>
                <w:szCs w:val="24"/>
              </w:rPr>
              <w:t>Training should be provided:</w:t>
            </w:r>
          </w:p>
          <w:p w14:paraId="0F544C98"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On orientation</w:t>
            </w:r>
          </w:p>
          <w:p w14:paraId="300B0B28"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Annual</w:t>
            </w:r>
          </w:p>
          <w:p w14:paraId="32B7D041"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Just-in-time training</w:t>
            </w:r>
          </w:p>
          <w:p w14:paraId="50BD1578"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lastRenderedPageBreak/>
              <w:t>Updates</w:t>
            </w:r>
          </w:p>
        </w:tc>
        <w:tc>
          <w:tcPr>
            <w:tcW w:w="4230" w:type="dxa"/>
          </w:tcPr>
          <w:p w14:paraId="00ED7DDB"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lastRenderedPageBreak/>
              <w:t>Steps for Assessment</w:t>
            </w:r>
          </w:p>
          <w:p w14:paraId="3201E532"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Overview of Changes</w:t>
            </w:r>
          </w:p>
          <w:p w14:paraId="0DC27035"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Prior Functioning</w:t>
            </w:r>
          </w:p>
          <w:p w14:paraId="77575357"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Prior Device Use:  Medicare A</w:t>
            </w:r>
          </w:p>
          <w:p w14:paraId="6C252DFF"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Functional Limitations of Range of Motion</w:t>
            </w:r>
          </w:p>
          <w:p w14:paraId="69627BC2"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Coding Scenario – Section GG</w:t>
            </w:r>
          </w:p>
          <w:p w14:paraId="02329F84"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Self-Care and Mobility</w:t>
            </w:r>
          </w:p>
          <w:p w14:paraId="6B1E3CDA"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lastRenderedPageBreak/>
              <w:t>Decision Tree</w:t>
            </w:r>
          </w:p>
          <w:p w14:paraId="0211765B"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Eating</w:t>
            </w:r>
          </w:p>
          <w:p w14:paraId="72F62E8A"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Toileting Hygiene</w:t>
            </w:r>
          </w:p>
          <w:p w14:paraId="696447CA"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Shower/Bathe Self</w:t>
            </w:r>
          </w:p>
          <w:p w14:paraId="4722F144"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Footwear</w:t>
            </w:r>
          </w:p>
          <w:p w14:paraId="228E9239"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Mobility Performance</w:t>
            </w:r>
          </w:p>
          <w:p w14:paraId="528C6A59"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Coding Tips</w:t>
            </w:r>
          </w:p>
          <w:p w14:paraId="6FD8C9C5"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Bed Mobility</w:t>
            </w:r>
          </w:p>
          <w:p w14:paraId="6AC18AEB"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Chair/Bed-to-Chair Transfer</w:t>
            </w:r>
          </w:p>
          <w:p w14:paraId="1DFB390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Tub/Shower Transfers</w:t>
            </w:r>
          </w:p>
          <w:p w14:paraId="49C8A634"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 xml:space="preserve">Toilet Transfer </w:t>
            </w:r>
          </w:p>
          <w:p w14:paraId="319CE3B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Car Transfer</w:t>
            </w:r>
          </w:p>
          <w:p w14:paraId="6AD9DB78"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Walking</w:t>
            </w:r>
          </w:p>
          <w:p w14:paraId="42C57691"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Steps</w:t>
            </w:r>
          </w:p>
          <w:p w14:paraId="2C6268C7"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Coding Correctly</w:t>
            </w:r>
          </w:p>
          <w:p w14:paraId="565A5470"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 xml:space="preserve">Look back </w:t>
            </w:r>
            <w:proofErr w:type="gramStart"/>
            <w:r w:rsidRPr="00851DD7">
              <w:rPr>
                <w:rFonts w:asciiTheme="minorHAnsi" w:hAnsiTheme="minorHAnsi" w:cstheme="minorHAnsi"/>
                <w:szCs w:val="24"/>
              </w:rPr>
              <w:t>Periods</w:t>
            </w:r>
            <w:proofErr w:type="gramEnd"/>
          </w:p>
          <w:p w14:paraId="626624BA"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Clarification</w:t>
            </w:r>
          </w:p>
          <w:p w14:paraId="039BDDD3"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Documentation</w:t>
            </w:r>
          </w:p>
          <w:p w14:paraId="0D998A7F"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Staff Roles and Responsibilities</w:t>
            </w:r>
          </w:p>
          <w:p w14:paraId="5662EF5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Licensed Nurse</w:t>
            </w:r>
          </w:p>
          <w:p w14:paraId="2C85E30F"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Unlicensed Staff</w:t>
            </w:r>
          </w:p>
          <w:p w14:paraId="27647E3B"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Agency</w:t>
            </w:r>
          </w:p>
          <w:p w14:paraId="554B77B9" w14:textId="77777777" w:rsidR="00851DD7" w:rsidRPr="00851DD7" w:rsidRDefault="00851DD7" w:rsidP="00851DD7">
            <w:pPr>
              <w:pStyle w:val="ListParagraph"/>
              <w:numPr>
                <w:ilvl w:val="1"/>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Therapy Staff</w:t>
            </w:r>
          </w:p>
          <w:p w14:paraId="4B3CC953" w14:textId="77777777" w:rsidR="00851DD7" w:rsidRPr="00851DD7" w:rsidRDefault="00851DD7" w:rsidP="00851DD7">
            <w:pPr>
              <w:pStyle w:val="ListParagraph"/>
              <w:numPr>
                <w:ilvl w:val="0"/>
                <w:numId w:val="36"/>
              </w:numPr>
              <w:spacing w:after="160" w:line="259" w:lineRule="auto"/>
              <w:contextualSpacing/>
              <w:rPr>
                <w:rFonts w:asciiTheme="minorHAnsi" w:hAnsiTheme="minorHAnsi" w:cstheme="minorHAnsi"/>
                <w:szCs w:val="24"/>
              </w:rPr>
            </w:pPr>
            <w:r w:rsidRPr="00851DD7">
              <w:rPr>
                <w:rFonts w:asciiTheme="minorHAnsi" w:hAnsiTheme="minorHAnsi" w:cstheme="minorHAnsi"/>
                <w:szCs w:val="24"/>
              </w:rPr>
              <w:t>Section GG Gap Analysis</w:t>
            </w:r>
          </w:p>
        </w:tc>
        <w:tc>
          <w:tcPr>
            <w:tcW w:w="3060" w:type="dxa"/>
          </w:tcPr>
          <w:p w14:paraId="76045C2D" w14:textId="77777777" w:rsidR="00851DD7" w:rsidRPr="00851DD7" w:rsidRDefault="00851DD7" w:rsidP="006D20B7">
            <w:pPr>
              <w:rPr>
                <w:rFonts w:asciiTheme="minorHAnsi" w:hAnsiTheme="minorHAnsi" w:cstheme="minorHAnsi"/>
                <w:i/>
                <w:iCs/>
                <w:szCs w:val="24"/>
              </w:rPr>
            </w:pPr>
            <w:r w:rsidRPr="00851DD7">
              <w:rPr>
                <w:rFonts w:asciiTheme="minorHAnsi" w:hAnsiTheme="minorHAnsi" w:cstheme="minorHAnsi"/>
                <w:i/>
                <w:iCs/>
                <w:szCs w:val="24"/>
              </w:rPr>
              <w:lastRenderedPageBreak/>
              <w:t>Leadership and the interdisciplinary team members involved in the completion and/or the oversight of the RAI Process, CNAs, Unit Nurses, Agency CNAs, Agency Nurses, Therapy, etc.</w:t>
            </w:r>
          </w:p>
        </w:tc>
      </w:tr>
      <w:tr w:rsidR="00851DD7" w:rsidRPr="00851DD7" w14:paraId="3DBEC0CD" w14:textId="77777777" w:rsidTr="006D20B7">
        <w:tc>
          <w:tcPr>
            <w:tcW w:w="2880" w:type="dxa"/>
          </w:tcPr>
          <w:p w14:paraId="6372E535" w14:textId="77777777" w:rsidR="00851DD7" w:rsidRPr="00851DD7" w:rsidRDefault="00851DD7" w:rsidP="006D20B7">
            <w:pPr>
              <w:rPr>
                <w:rFonts w:asciiTheme="minorHAnsi" w:hAnsiTheme="minorHAnsi" w:cstheme="minorHAnsi"/>
                <w:b/>
                <w:bCs/>
                <w:szCs w:val="24"/>
              </w:rPr>
            </w:pPr>
            <w:r w:rsidRPr="00851DD7">
              <w:rPr>
                <w:rFonts w:asciiTheme="minorHAnsi" w:hAnsiTheme="minorHAnsi" w:cstheme="minorHAnsi"/>
                <w:b/>
                <w:bCs/>
                <w:szCs w:val="24"/>
              </w:rPr>
              <w:t>MDS Section GG Competencies</w:t>
            </w:r>
          </w:p>
          <w:p w14:paraId="49D019FD" w14:textId="77777777" w:rsidR="00851DD7" w:rsidRPr="00851DD7" w:rsidRDefault="00851DD7" w:rsidP="006D20B7">
            <w:pPr>
              <w:rPr>
                <w:rFonts w:asciiTheme="minorHAnsi" w:hAnsiTheme="minorHAnsi" w:cstheme="minorHAnsi"/>
                <w:szCs w:val="24"/>
              </w:rPr>
            </w:pPr>
          </w:p>
          <w:p w14:paraId="4F81E2CA" w14:textId="77777777" w:rsidR="00851DD7" w:rsidRPr="00851DD7" w:rsidRDefault="00851DD7" w:rsidP="006D20B7">
            <w:pPr>
              <w:rPr>
                <w:rFonts w:asciiTheme="minorHAnsi" w:hAnsiTheme="minorHAnsi" w:cstheme="minorHAnsi"/>
                <w:szCs w:val="24"/>
              </w:rPr>
            </w:pPr>
            <w:r w:rsidRPr="00851DD7">
              <w:rPr>
                <w:rFonts w:asciiTheme="minorHAnsi" w:hAnsiTheme="minorHAnsi" w:cstheme="minorHAnsi"/>
                <w:szCs w:val="24"/>
              </w:rPr>
              <w:t>Training should be evaluated:</w:t>
            </w:r>
          </w:p>
          <w:p w14:paraId="44E63E18"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On Orientation</w:t>
            </w:r>
          </w:p>
          <w:p w14:paraId="4FE8E8F9"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Annual</w:t>
            </w:r>
          </w:p>
          <w:p w14:paraId="353E7286"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Just-in-time training</w:t>
            </w:r>
          </w:p>
          <w:p w14:paraId="37BC3EE5"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t>Updates</w:t>
            </w:r>
          </w:p>
          <w:p w14:paraId="4BC5A438" w14:textId="77777777" w:rsidR="00851DD7" w:rsidRPr="00851DD7" w:rsidRDefault="00851DD7" w:rsidP="00851DD7">
            <w:pPr>
              <w:pStyle w:val="ListParagraph"/>
              <w:numPr>
                <w:ilvl w:val="0"/>
                <w:numId w:val="37"/>
              </w:numPr>
              <w:rPr>
                <w:rFonts w:asciiTheme="minorHAnsi" w:hAnsiTheme="minorHAnsi" w:cstheme="minorHAnsi"/>
                <w:szCs w:val="24"/>
              </w:rPr>
            </w:pPr>
            <w:r w:rsidRPr="00851DD7">
              <w:rPr>
                <w:rFonts w:asciiTheme="minorHAnsi" w:hAnsiTheme="minorHAnsi" w:cstheme="minorHAnsi"/>
                <w:szCs w:val="24"/>
              </w:rPr>
              <w:lastRenderedPageBreak/>
              <w:t>Agency staff new to the facility and at least annually or with updates</w:t>
            </w:r>
          </w:p>
          <w:p w14:paraId="7839C7B1" w14:textId="77777777" w:rsidR="00851DD7" w:rsidRPr="00851DD7" w:rsidRDefault="00851DD7" w:rsidP="006D20B7">
            <w:pPr>
              <w:pStyle w:val="ListParagraph"/>
              <w:rPr>
                <w:rFonts w:asciiTheme="minorHAnsi" w:hAnsiTheme="minorHAnsi" w:cstheme="minorHAnsi"/>
                <w:szCs w:val="24"/>
              </w:rPr>
            </w:pPr>
          </w:p>
          <w:p w14:paraId="5BAEB8DA" w14:textId="77777777" w:rsidR="00851DD7" w:rsidRPr="00851DD7" w:rsidRDefault="00851DD7" w:rsidP="006D20B7">
            <w:pPr>
              <w:rPr>
                <w:rFonts w:asciiTheme="minorHAnsi" w:hAnsiTheme="minorHAnsi" w:cstheme="minorHAnsi"/>
                <w:b/>
                <w:bCs/>
                <w:szCs w:val="24"/>
              </w:rPr>
            </w:pPr>
            <w:r w:rsidRPr="00851DD7">
              <w:rPr>
                <w:rFonts w:asciiTheme="minorHAnsi" w:hAnsiTheme="minorHAnsi" w:cstheme="minorHAnsi"/>
                <w:b/>
                <w:bCs/>
                <w:szCs w:val="24"/>
              </w:rPr>
              <w:t>NOTE:  See Section GG Grid</w:t>
            </w:r>
          </w:p>
        </w:tc>
        <w:tc>
          <w:tcPr>
            <w:tcW w:w="4230" w:type="dxa"/>
          </w:tcPr>
          <w:p w14:paraId="58F65E3B" w14:textId="77777777" w:rsidR="00851DD7" w:rsidRPr="00851DD7" w:rsidRDefault="00851DD7" w:rsidP="00851DD7">
            <w:pPr>
              <w:pStyle w:val="ListParagraph"/>
              <w:numPr>
                <w:ilvl w:val="0"/>
                <w:numId w:val="36"/>
              </w:numPr>
              <w:rPr>
                <w:rFonts w:asciiTheme="minorHAnsi" w:hAnsiTheme="minorHAnsi" w:cstheme="minorHAnsi"/>
                <w:szCs w:val="24"/>
              </w:rPr>
            </w:pPr>
            <w:r w:rsidRPr="00851DD7">
              <w:rPr>
                <w:rFonts w:asciiTheme="minorHAnsi" w:hAnsiTheme="minorHAnsi" w:cstheme="minorHAnsi"/>
                <w:szCs w:val="24"/>
              </w:rPr>
              <w:lastRenderedPageBreak/>
              <w:t xml:space="preserve">Nursing Assistant Checklist - Section GG coding </w:t>
            </w:r>
          </w:p>
          <w:p w14:paraId="7E89F1DE" w14:textId="77777777" w:rsidR="00851DD7" w:rsidRPr="00851DD7" w:rsidRDefault="00851DD7" w:rsidP="00851DD7">
            <w:pPr>
              <w:pStyle w:val="ListParagraph"/>
              <w:numPr>
                <w:ilvl w:val="0"/>
                <w:numId w:val="36"/>
              </w:numPr>
              <w:rPr>
                <w:rFonts w:asciiTheme="minorHAnsi" w:hAnsiTheme="minorHAnsi" w:cstheme="minorHAnsi"/>
                <w:szCs w:val="24"/>
              </w:rPr>
            </w:pPr>
            <w:r w:rsidRPr="00851DD7">
              <w:rPr>
                <w:rFonts w:asciiTheme="minorHAnsi" w:hAnsiTheme="minorHAnsi" w:cstheme="minorHAnsi"/>
                <w:szCs w:val="24"/>
              </w:rPr>
              <w:t>Licensed Nurse – Section GG</w:t>
            </w:r>
          </w:p>
          <w:p w14:paraId="0D10DC32" w14:textId="77777777" w:rsidR="00851DD7" w:rsidRPr="00851DD7" w:rsidRDefault="00851DD7" w:rsidP="00851DD7">
            <w:pPr>
              <w:pStyle w:val="ListParagraph"/>
              <w:numPr>
                <w:ilvl w:val="0"/>
                <w:numId w:val="36"/>
              </w:numPr>
              <w:rPr>
                <w:rFonts w:asciiTheme="minorHAnsi" w:hAnsiTheme="minorHAnsi" w:cstheme="minorHAnsi"/>
                <w:szCs w:val="24"/>
              </w:rPr>
            </w:pPr>
            <w:r w:rsidRPr="00851DD7">
              <w:rPr>
                <w:rFonts w:asciiTheme="minorHAnsi" w:hAnsiTheme="minorHAnsi" w:cstheme="minorHAnsi"/>
                <w:szCs w:val="24"/>
              </w:rPr>
              <w:t>Professional Therapy – Section GG coding</w:t>
            </w:r>
          </w:p>
          <w:p w14:paraId="5ADC1818" w14:textId="77777777" w:rsidR="00851DD7" w:rsidRPr="00851DD7" w:rsidRDefault="00851DD7" w:rsidP="00851DD7">
            <w:pPr>
              <w:pStyle w:val="ListParagraph"/>
              <w:numPr>
                <w:ilvl w:val="0"/>
                <w:numId w:val="36"/>
              </w:numPr>
              <w:rPr>
                <w:rFonts w:asciiTheme="minorHAnsi" w:hAnsiTheme="minorHAnsi" w:cstheme="minorHAnsi"/>
                <w:szCs w:val="24"/>
              </w:rPr>
            </w:pPr>
            <w:r w:rsidRPr="00851DD7">
              <w:rPr>
                <w:rFonts w:asciiTheme="minorHAnsi" w:hAnsiTheme="minorHAnsi" w:cstheme="minorHAnsi"/>
                <w:szCs w:val="24"/>
              </w:rPr>
              <w:t>Agency Licensed Nurse – Section GG coding</w:t>
            </w:r>
          </w:p>
          <w:p w14:paraId="489537D2" w14:textId="77777777" w:rsidR="00851DD7" w:rsidRPr="00851DD7" w:rsidRDefault="00851DD7" w:rsidP="00851DD7">
            <w:pPr>
              <w:pStyle w:val="ListParagraph"/>
              <w:numPr>
                <w:ilvl w:val="0"/>
                <w:numId w:val="36"/>
              </w:numPr>
              <w:rPr>
                <w:rFonts w:asciiTheme="minorHAnsi" w:hAnsiTheme="minorHAnsi" w:cstheme="minorHAnsi"/>
                <w:szCs w:val="24"/>
              </w:rPr>
            </w:pPr>
            <w:r w:rsidRPr="00851DD7">
              <w:rPr>
                <w:rFonts w:asciiTheme="minorHAnsi" w:hAnsiTheme="minorHAnsi" w:cstheme="minorHAnsi"/>
                <w:szCs w:val="24"/>
              </w:rPr>
              <w:t>Agency Nursing Assistant – Section GG coding</w:t>
            </w:r>
          </w:p>
        </w:tc>
        <w:tc>
          <w:tcPr>
            <w:tcW w:w="3060" w:type="dxa"/>
          </w:tcPr>
          <w:p w14:paraId="1F8B4ABC" w14:textId="77777777" w:rsidR="00851DD7" w:rsidRPr="00851DD7" w:rsidRDefault="00851DD7" w:rsidP="006D20B7">
            <w:pPr>
              <w:rPr>
                <w:rFonts w:asciiTheme="minorHAnsi" w:hAnsiTheme="minorHAnsi" w:cstheme="minorHAnsi"/>
                <w:i/>
                <w:iCs/>
                <w:szCs w:val="24"/>
              </w:rPr>
            </w:pPr>
            <w:r w:rsidRPr="00851DD7">
              <w:rPr>
                <w:rFonts w:asciiTheme="minorHAnsi" w:hAnsiTheme="minorHAnsi" w:cstheme="minorHAnsi"/>
                <w:i/>
                <w:iCs/>
                <w:szCs w:val="24"/>
              </w:rPr>
              <w:t>Leadership and the interdisciplinary team members involved in the completion and/or the oversight of the RAI Process, CNAs, Unit Nurses, Agency CNAs, Agency Nurses, Therapy, etc.</w:t>
            </w:r>
          </w:p>
        </w:tc>
      </w:tr>
    </w:tbl>
    <w:p w14:paraId="59F73C48" w14:textId="77777777" w:rsidR="00851DD7" w:rsidRPr="00851DD7" w:rsidRDefault="00851DD7" w:rsidP="00851DD7">
      <w:pPr>
        <w:rPr>
          <w:rFonts w:asciiTheme="minorHAnsi" w:hAnsiTheme="minorHAnsi" w:cstheme="minorHAnsi"/>
          <w:szCs w:val="24"/>
        </w:rPr>
      </w:pPr>
    </w:p>
    <w:p w14:paraId="7CD07EC1" w14:textId="77777777" w:rsidR="00851DD7" w:rsidRPr="00851DD7" w:rsidRDefault="00851DD7" w:rsidP="00851DD7">
      <w:pPr>
        <w:rPr>
          <w:rFonts w:asciiTheme="minorHAnsi" w:hAnsiTheme="minorHAnsi" w:cstheme="minorHAnsi"/>
          <w:szCs w:val="24"/>
        </w:rPr>
      </w:pPr>
    </w:p>
    <w:p w14:paraId="659BA1D4" w14:textId="77777777" w:rsidR="00851DD7" w:rsidRPr="00851DD7" w:rsidRDefault="00851DD7" w:rsidP="00851DD7">
      <w:pPr>
        <w:rPr>
          <w:rFonts w:asciiTheme="minorHAnsi" w:hAnsiTheme="minorHAnsi" w:cstheme="minorHAnsi"/>
          <w:b/>
          <w:bCs/>
          <w:szCs w:val="24"/>
        </w:rPr>
      </w:pPr>
      <w:r w:rsidRPr="00851DD7">
        <w:rPr>
          <w:rFonts w:asciiTheme="minorHAnsi" w:hAnsiTheme="minorHAnsi" w:cstheme="minorHAnsi"/>
          <w:b/>
          <w:bCs/>
          <w:szCs w:val="24"/>
        </w:rPr>
        <w:t>References and Resources</w:t>
      </w:r>
    </w:p>
    <w:p w14:paraId="1E9C3BA0" w14:textId="77777777" w:rsidR="00851DD7" w:rsidRPr="00851DD7" w:rsidRDefault="00851DD7" w:rsidP="00851DD7">
      <w:pPr>
        <w:rPr>
          <w:rFonts w:asciiTheme="minorHAnsi" w:hAnsiTheme="minorHAnsi" w:cstheme="minorHAnsi"/>
          <w:szCs w:val="24"/>
        </w:rPr>
      </w:pPr>
    </w:p>
    <w:p w14:paraId="6AA83B65" w14:textId="77777777" w:rsidR="00851DD7" w:rsidRPr="00851DD7" w:rsidRDefault="00851DD7" w:rsidP="00851DD7">
      <w:pPr>
        <w:rPr>
          <w:rFonts w:asciiTheme="minorHAnsi" w:hAnsiTheme="minorHAnsi" w:cstheme="minorHAnsi"/>
          <w:szCs w:val="24"/>
        </w:rPr>
      </w:pPr>
      <w:r w:rsidRPr="00851DD7">
        <w:rPr>
          <w:rFonts w:asciiTheme="minorHAnsi" w:hAnsiTheme="minorHAnsi" w:cstheme="minorHAnsi"/>
          <w:szCs w:val="24"/>
        </w:rPr>
        <w:t xml:space="preserve">Centers for Medicare &amp; Medicaid Services.  State Operations Manual, Appendix PP – Guidance to Surveyors for Long Term Care Facilities.  </w:t>
      </w:r>
      <w:hyperlink r:id="rId8" w:history="1">
        <w:r w:rsidRPr="00851DD7">
          <w:rPr>
            <w:rStyle w:val="Hyperlink"/>
            <w:rFonts w:asciiTheme="minorHAnsi" w:hAnsiTheme="minorHAnsi" w:cstheme="minorHAnsi"/>
            <w:szCs w:val="24"/>
          </w:rPr>
          <w:t>https://www.cms.gov/medicare/provider-enrollment-and-certification/guidanceforlawsandregulations/downloads/appendix-pp-state-operations-manual.pdf</w:t>
        </w:r>
      </w:hyperlink>
      <w:r w:rsidRPr="00851DD7">
        <w:rPr>
          <w:rFonts w:asciiTheme="minorHAnsi" w:hAnsiTheme="minorHAnsi" w:cstheme="minorHAnsi"/>
          <w:szCs w:val="24"/>
        </w:rPr>
        <w:t xml:space="preserve"> </w:t>
      </w:r>
    </w:p>
    <w:p w14:paraId="52FB7C77" w14:textId="77777777" w:rsidR="00851DD7" w:rsidRPr="00851DD7" w:rsidRDefault="00851DD7" w:rsidP="00851DD7">
      <w:pPr>
        <w:rPr>
          <w:rFonts w:asciiTheme="minorHAnsi" w:hAnsiTheme="minorHAnsi" w:cstheme="minorHAnsi"/>
          <w:szCs w:val="24"/>
        </w:rPr>
      </w:pPr>
    </w:p>
    <w:p w14:paraId="14E2B4DA" w14:textId="77777777" w:rsidR="00851DD7" w:rsidRPr="00851DD7" w:rsidRDefault="00851DD7" w:rsidP="00851DD7">
      <w:pPr>
        <w:rPr>
          <w:rFonts w:asciiTheme="minorHAnsi" w:hAnsiTheme="minorHAnsi" w:cstheme="minorHAnsi"/>
          <w:szCs w:val="24"/>
        </w:rPr>
      </w:pPr>
      <w:r w:rsidRPr="00851DD7">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Pr="00851DD7">
          <w:rPr>
            <w:rStyle w:val="Hyperlink"/>
            <w:rFonts w:asciiTheme="minorHAnsi" w:hAnsiTheme="minorHAnsi" w:cstheme="minorHAnsi"/>
            <w:szCs w:val="24"/>
          </w:rPr>
          <w:t>https://www.cms.gov/Medicare/Quality-Initiatives-Patient-Assessment-Instruments/NursingHomeQualityInits/MDS30RAIManual</w:t>
        </w:r>
      </w:hyperlink>
    </w:p>
    <w:p w14:paraId="41F6D997" w14:textId="55670ED4" w:rsidR="00A70522" w:rsidRPr="00A70522" w:rsidRDefault="00A70522" w:rsidP="00851DD7">
      <w:pPr>
        <w:jc w:val="center"/>
        <w:rPr>
          <w:rFonts w:asciiTheme="minorHAnsi" w:hAnsiTheme="minorHAnsi" w:cstheme="minorHAnsi"/>
        </w:rPr>
      </w:pPr>
    </w:p>
    <w:sectPr w:rsidR="00A70522" w:rsidRPr="00A70522"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0EAF" w14:textId="77777777" w:rsidR="00A12679" w:rsidRDefault="00A12679" w:rsidP="00FE158D">
      <w:r>
        <w:separator/>
      </w:r>
    </w:p>
  </w:endnote>
  <w:endnote w:type="continuationSeparator" w:id="0">
    <w:p w14:paraId="780C70C5" w14:textId="77777777" w:rsidR="00A12679" w:rsidRDefault="00A1267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19E1" w14:textId="77777777" w:rsidR="00A12679" w:rsidRDefault="00A12679" w:rsidP="00FE158D">
      <w:r>
        <w:separator/>
      </w:r>
    </w:p>
  </w:footnote>
  <w:footnote w:type="continuationSeparator" w:id="0">
    <w:p w14:paraId="349EC073" w14:textId="77777777" w:rsidR="00A12679" w:rsidRDefault="00A1267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475F5"/>
    <w:multiLevelType w:val="hybridMultilevel"/>
    <w:tmpl w:val="409E83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34B6"/>
    <w:multiLevelType w:val="hybridMultilevel"/>
    <w:tmpl w:val="557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33D1270"/>
    <w:multiLevelType w:val="hybridMultilevel"/>
    <w:tmpl w:val="E0164D8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8"/>
  </w:num>
  <w:num w:numId="2" w16cid:durableId="103622501">
    <w:abstractNumId w:val="37"/>
  </w:num>
  <w:num w:numId="3" w16cid:durableId="2107460121">
    <w:abstractNumId w:val="29"/>
  </w:num>
  <w:num w:numId="4" w16cid:durableId="315956492">
    <w:abstractNumId w:val="35"/>
  </w:num>
  <w:num w:numId="5" w16cid:durableId="2136409435">
    <w:abstractNumId w:val="12"/>
  </w:num>
  <w:num w:numId="6" w16cid:durableId="1357846870">
    <w:abstractNumId w:val="31"/>
  </w:num>
  <w:num w:numId="7" w16cid:durableId="398213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1"/>
  </w:num>
  <w:num w:numId="10" w16cid:durableId="61487259">
    <w:abstractNumId w:val="22"/>
  </w:num>
  <w:num w:numId="11" w16cid:durableId="726876866">
    <w:abstractNumId w:val="16"/>
  </w:num>
  <w:num w:numId="12" w16cid:durableId="1899897450">
    <w:abstractNumId w:val="33"/>
  </w:num>
  <w:num w:numId="13" w16cid:durableId="99108190">
    <w:abstractNumId w:val="11"/>
  </w:num>
  <w:num w:numId="14" w16cid:durableId="972635690">
    <w:abstractNumId w:val="10"/>
  </w:num>
  <w:num w:numId="15" w16cid:durableId="299266596">
    <w:abstractNumId w:val="6"/>
  </w:num>
  <w:num w:numId="16" w16cid:durableId="1957131368">
    <w:abstractNumId w:val="14"/>
  </w:num>
  <w:num w:numId="17" w16cid:durableId="2055233907">
    <w:abstractNumId w:val="38"/>
  </w:num>
  <w:num w:numId="18" w16cid:durableId="1101989952">
    <w:abstractNumId w:val="3"/>
  </w:num>
  <w:num w:numId="19" w16cid:durableId="850486595">
    <w:abstractNumId w:val="2"/>
  </w:num>
  <w:num w:numId="20" w16cid:durableId="1957902571">
    <w:abstractNumId w:val="32"/>
  </w:num>
  <w:num w:numId="21" w16cid:durableId="1507986864">
    <w:abstractNumId w:val="13"/>
  </w:num>
  <w:num w:numId="22" w16cid:durableId="1880048584">
    <w:abstractNumId w:val="28"/>
  </w:num>
  <w:num w:numId="23" w16cid:durableId="184945490">
    <w:abstractNumId w:val="30"/>
  </w:num>
  <w:num w:numId="24" w16cid:durableId="141893206">
    <w:abstractNumId w:val="25"/>
  </w:num>
  <w:num w:numId="25" w16cid:durableId="202984854">
    <w:abstractNumId w:val="20"/>
  </w:num>
  <w:num w:numId="26" w16cid:durableId="1846358971">
    <w:abstractNumId w:val="36"/>
  </w:num>
  <w:num w:numId="27" w16cid:durableId="951547196">
    <w:abstractNumId w:val="27"/>
  </w:num>
  <w:num w:numId="28" w16cid:durableId="1365715858">
    <w:abstractNumId w:val="1"/>
  </w:num>
  <w:num w:numId="29" w16cid:durableId="1203322149">
    <w:abstractNumId w:val="15"/>
  </w:num>
  <w:num w:numId="30" w16cid:durableId="2087025096">
    <w:abstractNumId w:val="19"/>
  </w:num>
  <w:num w:numId="31" w16cid:durableId="796291873">
    <w:abstractNumId w:val="26"/>
  </w:num>
  <w:num w:numId="32" w16cid:durableId="236944459">
    <w:abstractNumId w:val="8"/>
  </w:num>
  <w:num w:numId="33" w16cid:durableId="632633339">
    <w:abstractNumId w:val="9"/>
  </w:num>
  <w:num w:numId="34" w16cid:durableId="1265267971">
    <w:abstractNumId w:val="23"/>
  </w:num>
  <w:num w:numId="35" w16cid:durableId="1102800810">
    <w:abstractNumId w:val="17"/>
  </w:num>
  <w:num w:numId="36" w16cid:durableId="1679194958">
    <w:abstractNumId w:val="5"/>
  </w:num>
  <w:num w:numId="37" w16cid:durableId="837580369">
    <w:abstractNumId w:val="7"/>
  </w:num>
  <w:num w:numId="38" w16cid:durableId="117245130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87A2F"/>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C1FD8"/>
    <w:rsid w:val="00513627"/>
    <w:rsid w:val="0051471B"/>
    <w:rsid w:val="00527903"/>
    <w:rsid w:val="00534CAA"/>
    <w:rsid w:val="0053732B"/>
    <w:rsid w:val="00540DA7"/>
    <w:rsid w:val="0054293C"/>
    <w:rsid w:val="005438CB"/>
    <w:rsid w:val="005675AE"/>
    <w:rsid w:val="005817E5"/>
    <w:rsid w:val="00593E4B"/>
    <w:rsid w:val="005B3EBE"/>
    <w:rsid w:val="005B4D62"/>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21F40"/>
    <w:rsid w:val="008259FB"/>
    <w:rsid w:val="00851DD7"/>
    <w:rsid w:val="00870097"/>
    <w:rsid w:val="00875A69"/>
    <w:rsid w:val="00883AD3"/>
    <w:rsid w:val="008859EC"/>
    <w:rsid w:val="008A506A"/>
    <w:rsid w:val="008C5C85"/>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12679"/>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3572</Characters>
  <Application>Microsoft Office Word</Application>
  <DocSecurity>0</DocSecurity>
  <Lines>132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2</cp:revision>
  <dcterms:created xsi:type="dcterms:W3CDTF">2023-07-11T17:57:00Z</dcterms:created>
  <dcterms:modified xsi:type="dcterms:W3CDTF">2023-07-11T17:57:00Z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7cf42653e284414b6f124b6b08497ca49ba8d8303c242faf1e2076af312d7fcc</vt:lpwstr>
  </property>
</Properties>
</file>