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3A58159D" w14:textId="77777777" w:rsidR="00A70522" w:rsidRDefault="00A70522" w:rsidP="00A70522">
                            <w:pPr>
                              <w:rPr>
                                <w:rFonts w:ascii="Calibri" w:hAnsi="Calibri"/>
                                <w:b/>
                                <w:color w:val="FFFFFF" w:themeColor="background1"/>
                                <w:sz w:val="72"/>
                              </w:rPr>
                            </w:pPr>
                            <w:r>
                              <w:rPr>
                                <w:rFonts w:ascii="Calibri" w:hAnsi="Calibri"/>
                                <w:b/>
                                <w:color w:val="FFFFFF" w:themeColor="background1"/>
                                <w:sz w:val="72"/>
                              </w:rPr>
                              <w:t>Section 3</w:t>
                            </w:r>
                          </w:p>
                          <w:p w14:paraId="1D81C442" w14:textId="37171377" w:rsidR="009C7954" w:rsidRPr="00C82867" w:rsidRDefault="002E08E2" w:rsidP="00A70522">
                            <w:pPr>
                              <w:rPr>
                                <w:rFonts w:ascii="Calibri" w:hAnsi="Calibri"/>
                                <w:b/>
                                <w:color w:val="FFFFFF" w:themeColor="background1"/>
                                <w:sz w:val="48"/>
                                <w:szCs w:val="48"/>
                              </w:rPr>
                            </w:pPr>
                            <w:r>
                              <w:rPr>
                                <w:rFonts w:ascii="Calibri" w:hAnsi="Calibri"/>
                                <w:b/>
                                <w:color w:val="FFFFFF" w:themeColor="background1"/>
                                <w:sz w:val="72"/>
                              </w:rPr>
                              <w:t xml:space="preserve">MDS </w:t>
                            </w:r>
                            <w:r w:rsidR="006D3946">
                              <w:rPr>
                                <w:rFonts w:ascii="Calibri" w:hAnsi="Calibri"/>
                                <w:b/>
                                <w:color w:val="FFFFFF" w:themeColor="background1"/>
                                <w:sz w:val="72"/>
                              </w:rPr>
                              <w:t>Competencies -</w:t>
                            </w:r>
                            <w:r>
                              <w:rPr>
                                <w:rFonts w:ascii="Calibri" w:hAnsi="Calibri"/>
                                <w:b/>
                                <w:color w:val="FFFFFF" w:themeColor="background1"/>
                                <w:sz w:val="72"/>
                              </w:rPr>
                              <w:t xml:space="preserve"> Overview and Templates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3A58159D" w14:textId="77777777" w:rsidR="00A70522" w:rsidRDefault="00A70522" w:rsidP="00A70522">
                      <w:pPr>
                        <w:rPr>
                          <w:rFonts w:ascii="Calibri" w:hAnsi="Calibri"/>
                          <w:b/>
                          <w:color w:val="FFFFFF" w:themeColor="background1"/>
                          <w:sz w:val="72"/>
                        </w:rPr>
                      </w:pPr>
                      <w:r>
                        <w:rPr>
                          <w:rFonts w:ascii="Calibri" w:hAnsi="Calibri"/>
                          <w:b/>
                          <w:color w:val="FFFFFF" w:themeColor="background1"/>
                          <w:sz w:val="72"/>
                        </w:rPr>
                        <w:t>Section 3</w:t>
                      </w:r>
                    </w:p>
                    <w:p w14:paraId="1D81C442" w14:textId="37171377" w:rsidR="009C7954" w:rsidRPr="00C82867" w:rsidRDefault="002E08E2" w:rsidP="00A70522">
                      <w:pPr>
                        <w:rPr>
                          <w:rFonts w:ascii="Calibri" w:hAnsi="Calibri"/>
                          <w:b/>
                          <w:color w:val="FFFFFF" w:themeColor="background1"/>
                          <w:sz w:val="48"/>
                          <w:szCs w:val="48"/>
                        </w:rPr>
                      </w:pPr>
                      <w:r>
                        <w:rPr>
                          <w:rFonts w:ascii="Calibri" w:hAnsi="Calibri"/>
                          <w:b/>
                          <w:color w:val="FFFFFF" w:themeColor="background1"/>
                          <w:sz w:val="72"/>
                        </w:rPr>
                        <w:t xml:space="preserve">MDS </w:t>
                      </w:r>
                      <w:r w:rsidR="006D3946">
                        <w:rPr>
                          <w:rFonts w:ascii="Calibri" w:hAnsi="Calibri"/>
                          <w:b/>
                          <w:color w:val="FFFFFF" w:themeColor="background1"/>
                          <w:sz w:val="72"/>
                        </w:rPr>
                        <w:t>Competencies -</w:t>
                      </w:r>
                      <w:r>
                        <w:rPr>
                          <w:rFonts w:ascii="Calibri" w:hAnsi="Calibri"/>
                          <w:b/>
                          <w:color w:val="FFFFFF" w:themeColor="background1"/>
                          <w:sz w:val="72"/>
                        </w:rPr>
                        <w:t xml:space="preserve"> Overview and Templates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41015E7A">
                <wp:simplePos x="0" y="0"/>
                <wp:positionH relativeFrom="column">
                  <wp:posOffset>19050</wp:posOffset>
                </wp:positionH>
                <wp:positionV relativeFrom="paragraph">
                  <wp:posOffset>3828415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1.5pt;margin-top:301.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sdt>
      <w:sdtPr>
        <w:rPr>
          <w:rFonts w:ascii="Times New Roman" w:eastAsia="Times New Roman" w:hAnsi="Times New Roman" w:cs="Times New Roman"/>
          <w:color w:val="5B9BD5" w:themeColor="accent1"/>
          <w:sz w:val="24"/>
          <w:szCs w:val="24"/>
        </w:rPr>
        <w:id w:val="1126122698"/>
        <w:docPartObj>
          <w:docPartGallery w:val="Cover Pages"/>
          <w:docPartUnique/>
        </w:docPartObj>
      </w:sdtPr>
      <w:sdtEndPr>
        <w:rPr>
          <w:color w:val="auto"/>
          <w:szCs w:val="20"/>
        </w:rPr>
      </w:sdtEndPr>
      <w:sdtContent>
        <w:p w14:paraId="1D231712" w14:textId="3D715AA9" w:rsidR="006D3946" w:rsidRPr="006D3946" w:rsidRDefault="006D3946" w:rsidP="006D3946">
          <w:pPr>
            <w:pStyle w:val="NoSpacing"/>
            <w:spacing w:before="1540" w:after="240"/>
            <w:jc w:val="center"/>
            <w:rPr>
              <w:rFonts w:cstheme="minorHAnsi"/>
              <w:b/>
              <w:bCs/>
              <w:color w:val="000000" w:themeColor="text1"/>
              <w:sz w:val="32"/>
              <w:szCs w:val="32"/>
            </w:rPr>
          </w:pPr>
          <w:r w:rsidRPr="006D3946">
            <w:rPr>
              <w:b/>
              <w:bCs/>
              <w:color w:val="000000" w:themeColor="text1"/>
              <w:sz w:val="32"/>
              <w:szCs w:val="32"/>
            </w:rPr>
            <w:t xml:space="preserve">MDS Competencies – Section Overview and How to Use Templates </w:t>
          </w:r>
        </w:p>
        <w:p w14:paraId="2D036917" w14:textId="77777777" w:rsidR="006D3946" w:rsidRPr="00E31A84" w:rsidRDefault="00000000" w:rsidP="006D3946"/>
      </w:sdtContent>
    </w:sdt>
    <w:p w14:paraId="2A0A3380" w14:textId="77777777" w:rsidR="006D3946" w:rsidRDefault="006D3946" w:rsidP="006D3946">
      <w:pPr>
        <w:rPr>
          <w:rFonts w:ascii="Calibri" w:hAnsi="Calibri" w:cs="Calibri"/>
        </w:rPr>
      </w:pPr>
      <w:r w:rsidRPr="009E6204">
        <w:rPr>
          <w:rFonts w:ascii="Calibri" w:hAnsi="Calibri" w:cs="Calibri"/>
        </w:rPr>
        <w:t>In the Centers for Medicare &amp; Medicaid Services Long-Term Care Facility Resident Assessment Instrument 3.0 User’s Manual, Chapter 1, Page 1-2, it states, “Clinical competence, observational, interviewing and critical thinking skills, and assessment expertise from all disciplines are required to develop individualized care plans.”</w:t>
      </w:r>
      <w:r w:rsidRPr="009E6204">
        <w:rPr>
          <w:rFonts w:ascii="Calibri" w:hAnsi="Calibri" w:cs="Calibri"/>
          <w:vertAlign w:val="superscript"/>
        </w:rPr>
        <w:t>1</w:t>
      </w:r>
      <w:r w:rsidRPr="009E6204">
        <w:rPr>
          <w:rFonts w:ascii="Calibri" w:hAnsi="Calibri" w:cs="Calibri"/>
        </w:rPr>
        <w:t xml:space="preserve"> </w:t>
      </w:r>
    </w:p>
    <w:p w14:paraId="48F2A3B0" w14:textId="77777777" w:rsidR="006D3946" w:rsidRDefault="006D3946" w:rsidP="006D3946">
      <w:pPr>
        <w:rPr>
          <w:rFonts w:ascii="Calibri" w:hAnsi="Calibri" w:cs="Calibri"/>
        </w:rPr>
      </w:pPr>
    </w:p>
    <w:p w14:paraId="76E352C5" w14:textId="64667064" w:rsidR="006D3946" w:rsidRPr="009E6204" w:rsidRDefault="006D3946" w:rsidP="006D3946">
      <w:pPr>
        <w:rPr>
          <w:rFonts w:ascii="Calibri" w:hAnsi="Calibri" w:cs="Calibri"/>
        </w:rPr>
      </w:pPr>
      <w:r w:rsidRPr="009E6204">
        <w:rPr>
          <w:rFonts w:ascii="Calibri" w:hAnsi="Calibri" w:cs="Calibri"/>
        </w:rPr>
        <w:t>In addition, F726 Nursing Services also addresses the requirements for competencies that indicates,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w:t>
      </w:r>
      <w:r w:rsidRPr="009E6204">
        <w:rPr>
          <w:rFonts w:ascii="Calibri" w:hAnsi="Calibri" w:cs="Calibri"/>
          <w:vertAlign w:val="superscript"/>
        </w:rPr>
        <w:t>2</w:t>
      </w:r>
    </w:p>
    <w:p w14:paraId="09EB5159" w14:textId="77777777" w:rsidR="006D3946" w:rsidRPr="009E6204" w:rsidRDefault="006D3946" w:rsidP="006D3946">
      <w:pPr>
        <w:rPr>
          <w:rFonts w:ascii="Calibri" w:hAnsi="Calibri" w:cs="Calibri"/>
        </w:rPr>
      </w:pPr>
    </w:p>
    <w:p w14:paraId="239C6786" w14:textId="77777777" w:rsidR="006D3946" w:rsidRDefault="006D3946" w:rsidP="006D3946">
      <w:pPr>
        <w:rPr>
          <w:rFonts w:ascii="Calibri" w:hAnsi="Calibri" w:cs="Calibri"/>
        </w:rPr>
      </w:pPr>
      <w:r>
        <w:rPr>
          <w:rFonts w:ascii="Calibri" w:hAnsi="Calibri" w:cs="Calibri"/>
        </w:rPr>
        <w:t xml:space="preserve">Competency in documentation to substantiate Minimum Data Set (MDS) coding, consistent with directions in the </w:t>
      </w:r>
      <w:r w:rsidRPr="009E6204">
        <w:rPr>
          <w:rFonts w:ascii="Calibri" w:hAnsi="Calibri" w:cs="Calibri"/>
        </w:rPr>
        <w:t>Long-Term Care Facility Resident Assessment Instrument 3.0 User’s Manual,</w:t>
      </w:r>
      <w:r>
        <w:rPr>
          <w:rFonts w:ascii="Calibri" w:hAnsi="Calibri" w:cs="Calibri"/>
        </w:rPr>
        <w:t xml:space="preserve"> is essential for quality care planning, accurate assessment process, compliance, accurate data and reimbursement.  It is essential that staff are trained and competent in this process.</w:t>
      </w:r>
    </w:p>
    <w:p w14:paraId="423C4F41" w14:textId="77777777" w:rsidR="006D3946" w:rsidRDefault="006D3946" w:rsidP="006D3946">
      <w:pPr>
        <w:rPr>
          <w:rFonts w:ascii="Calibri" w:hAnsi="Calibri" w:cs="Calibri"/>
        </w:rPr>
      </w:pPr>
    </w:p>
    <w:p w14:paraId="1EB946B5" w14:textId="77777777" w:rsidR="006D3946" w:rsidRDefault="006D3946" w:rsidP="006D3946">
      <w:pPr>
        <w:rPr>
          <w:rFonts w:ascii="Calibri" w:hAnsi="Calibri" w:cs="Calibri"/>
        </w:rPr>
      </w:pPr>
      <w:r w:rsidRPr="009E6204">
        <w:rPr>
          <w:rFonts w:ascii="Calibri" w:hAnsi="Calibri" w:cs="Calibri"/>
        </w:rPr>
        <w:t>This section provides several tools that can be utilized following education, to identify evidence of competencies in multiple areas.  These knowledge, skills, and abilities (KSA) tools will be able to determine if an employee is competent, needs additional training, identifies the method of evaluation and any recommendations.  Competency tools include:</w:t>
      </w:r>
    </w:p>
    <w:p w14:paraId="44DA5C47" w14:textId="77777777" w:rsidR="006D3946" w:rsidRPr="009E6204" w:rsidRDefault="006D3946" w:rsidP="006D3946">
      <w:pPr>
        <w:rPr>
          <w:rFonts w:ascii="Calibri" w:hAnsi="Calibri" w:cs="Calibri"/>
        </w:rPr>
      </w:pPr>
    </w:p>
    <w:p w14:paraId="0812F76C" w14:textId="77777777" w:rsidR="006D3946" w:rsidRPr="009E6204" w:rsidRDefault="006D3946" w:rsidP="006D3946">
      <w:pPr>
        <w:pStyle w:val="ListParagraph"/>
        <w:numPr>
          <w:ilvl w:val="0"/>
          <w:numId w:val="34"/>
        </w:numPr>
        <w:rPr>
          <w:rFonts w:ascii="Calibri" w:hAnsi="Calibri" w:cs="Calibri"/>
        </w:rPr>
      </w:pPr>
      <w:r w:rsidRPr="009E6204">
        <w:rPr>
          <w:rFonts w:ascii="Calibri" w:hAnsi="Calibri" w:cs="Calibri"/>
        </w:rPr>
        <w:t xml:space="preserve">Nursing Assistant Checklist - Section GG coding </w:t>
      </w:r>
    </w:p>
    <w:p w14:paraId="5AAAA5BA" w14:textId="77777777" w:rsidR="006D3946" w:rsidRPr="009E6204" w:rsidRDefault="006D3946" w:rsidP="006D3946">
      <w:pPr>
        <w:pStyle w:val="ListParagraph"/>
        <w:numPr>
          <w:ilvl w:val="0"/>
          <w:numId w:val="34"/>
        </w:numPr>
        <w:rPr>
          <w:rFonts w:ascii="Calibri" w:hAnsi="Calibri" w:cs="Calibri"/>
        </w:rPr>
      </w:pPr>
      <w:r w:rsidRPr="009E6204">
        <w:rPr>
          <w:rFonts w:ascii="Calibri" w:hAnsi="Calibri" w:cs="Calibri"/>
        </w:rPr>
        <w:t>Licensed Nurse – Section GG</w:t>
      </w:r>
    </w:p>
    <w:p w14:paraId="5FA4B2F3" w14:textId="77777777" w:rsidR="006D3946" w:rsidRPr="009E6204" w:rsidRDefault="006D3946" w:rsidP="006D3946">
      <w:pPr>
        <w:pStyle w:val="ListParagraph"/>
        <w:numPr>
          <w:ilvl w:val="0"/>
          <w:numId w:val="34"/>
        </w:numPr>
        <w:rPr>
          <w:rFonts w:ascii="Calibri" w:hAnsi="Calibri" w:cs="Calibri"/>
        </w:rPr>
      </w:pPr>
      <w:r w:rsidRPr="009E6204">
        <w:rPr>
          <w:rFonts w:ascii="Calibri" w:hAnsi="Calibri" w:cs="Calibri"/>
        </w:rPr>
        <w:t>Professional Therapy – Section GG coding</w:t>
      </w:r>
    </w:p>
    <w:p w14:paraId="4C720113" w14:textId="77777777" w:rsidR="006D3946" w:rsidRPr="009E6204" w:rsidRDefault="006D3946" w:rsidP="006D3946">
      <w:pPr>
        <w:pStyle w:val="ListParagraph"/>
        <w:numPr>
          <w:ilvl w:val="0"/>
          <w:numId w:val="34"/>
        </w:numPr>
        <w:rPr>
          <w:rFonts w:ascii="Calibri" w:hAnsi="Calibri" w:cs="Calibri"/>
        </w:rPr>
      </w:pPr>
      <w:r w:rsidRPr="009E6204">
        <w:rPr>
          <w:rFonts w:ascii="Calibri" w:hAnsi="Calibri" w:cs="Calibri"/>
        </w:rPr>
        <w:t>Agency Licensed Nurse – Section GG coding</w:t>
      </w:r>
    </w:p>
    <w:p w14:paraId="4CA005DA" w14:textId="77777777" w:rsidR="006D3946" w:rsidRPr="00E31A84" w:rsidRDefault="006D3946" w:rsidP="006D3946">
      <w:pPr>
        <w:pStyle w:val="ListParagraph"/>
        <w:numPr>
          <w:ilvl w:val="0"/>
          <w:numId w:val="34"/>
        </w:numPr>
        <w:rPr>
          <w:rFonts w:ascii="Calibri" w:hAnsi="Calibri" w:cs="Calibri"/>
        </w:rPr>
      </w:pPr>
      <w:r w:rsidRPr="009E6204">
        <w:rPr>
          <w:rFonts w:ascii="Calibri" w:hAnsi="Calibri" w:cs="Calibri"/>
        </w:rPr>
        <w:t>Agency Nursing Assistant – Section GG coding</w:t>
      </w:r>
    </w:p>
    <w:p w14:paraId="52C19C8E" w14:textId="77777777" w:rsidR="006D3946" w:rsidRPr="00A70522" w:rsidRDefault="006D3946" w:rsidP="00A70522">
      <w:pPr>
        <w:rPr>
          <w:rFonts w:asciiTheme="minorHAnsi" w:hAnsiTheme="minorHAnsi" w:cstheme="minorHAnsi"/>
        </w:rPr>
      </w:pPr>
    </w:p>
    <w:p w14:paraId="46C5D61C" w14:textId="77777777" w:rsidR="00A70522" w:rsidRPr="00A70522" w:rsidRDefault="00A70522" w:rsidP="00A70522">
      <w:pPr>
        <w:rPr>
          <w:rFonts w:asciiTheme="minorHAnsi" w:hAnsiTheme="minorHAnsi" w:cstheme="minorHAnsi"/>
        </w:rPr>
      </w:pPr>
    </w:p>
    <w:p w14:paraId="2EB3C60B" w14:textId="77777777" w:rsidR="00A70522" w:rsidRPr="00A70522" w:rsidRDefault="00A70522" w:rsidP="00A70522">
      <w:pPr>
        <w:rPr>
          <w:rFonts w:asciiTheme="minorHAnsi" w:hAnsiTheme="minorHAnsi" w:cstheme="minorHAnsi"/>
          <w:b/>
          <w:bCs/>
        </w:rPr>
      </w:pPr>
      <w:r w:rsidRPr="00A70522">
        <w:rPr>
          <w:rFonts w:asciiTheme="minorHAnsi" w:hAnsiTheme="minorHAnsi" w:cstheme="minorHAnsi"/>
          <w:b/>
          <w:bCs/>
        </w:rPr>
        <w:t>References and Resources</w:t>
      </w:r>
    </w:p>
    <w:p w14:paraId="41C14D9E" w14:textId="77777777" w:rsidR="00A70522" w:rsidRPr="00A70522" w:rsidRDefault="00A70522" w:rsidP="00A70522">
      <w:pPr>
        <w:rPr>
          <w:rFonts w:asciiTheme="minorHAnsi" w:hAnsiTheme="minorHAnsi" w:cstheme="minorHAnsi"/>
        </w:rPr>
      </w:pPr>
    </w:p>
    <w:p w14:paraId="2FCB7407" w14:textId="77777777" w:rsidR="00A70522" w:rsidRPr="00A70522" w:rsidRDefault="00A70522" w:rsidP="00A70522">
      <w:pPr>
        <w:rPr>
          <w:rFonts w:asciiTheme="minorHAnsi" w:hAnsiTheme="minorHAnsi" w:cstheme="minorHAnsi"/>
        </w:rPr>
      </w:pPr>
      <w:r w:rsidRPr="00A70522">
        <w:rPr>
          <w:rFonts w:asciiTheme="minorHAnsi" w:hAnsiTheme="minorHAnsi" w:cstheme="minorHAnsi"/>
          <w:vertAlign w:val="superscript"/>
        </w:rPr>
        <w:t>1</w:t>
      </w:r>
      <w:r w:rsidRPr="00A70522">
        <w:rPr>
          <w:rFonts w:asciiTheme="minorHAnsi" w:hAnsiTheme="minorHAnsi" w:cstheme="minorHAnsi"/>
        </w:rPr>
        <w:t xml:space="preserve">Centers for Medicare &amp; Medicaid Services.  State Operations Manual, Appendix PP – Guidance to Surveyors for Long Term Care Facilities.  </w:t>
      </w:r>
      <w:hyperlink r:id="rId8" w:history="1">
        <w:r w:rsidRPr="00A70522">
          <w:rPr>
            <w:rStyle w:val="Hyperlink"/>
            <w:rFonts w:asciiTheme="minorHAnsi" w:hAnsiTheme="minorHAnsi" w:cstheme="minorHAnsi"/>
          </w:rPr>
          <w:t>https://www.cms.gov/medicare/provider-enrollment-and-certification/guidanceforlawsandregulations/downloads/appendix-pp-state-operations-manual.pdf</w:t>
        </w:r>
      </w:hyperlink>
      <w:r w:rsidRPr="00A70522">
        <w:rPr>
          <w:rFonts w:asciiTheme="minorHAnsi" w:hAnsiTheme="minorHAnsi" w:cstheme="minorHAnsi"/>
        </w:rPr>
        <w:t xml:space="preserve"> </w:t>
      </w:r>
    </w:p>
    <w:p w14:paraId="2B2EEAEA" w14:textId="77777777" w:rsidR="00A70522" w:rsidRPr="00A70522" w:rsidRDefault="00A70522" w:rsidP="00A70522">
      <w:pPr>
        <w:rPr>
          <w:rFonts w:asciiTheme="minorHAnsi" w:hAnsiTheme="minorHAnsi" w:cstheme="minorHAnsi"/>
        </w:rPr>
      </w:pPr>
    </w:p>
    <w:p w14:paraId="41F6D997" w14:textId="4BC6773F" w:rsidR="00A70522" w:rsidRPr="00A70522" w:rsidRDefault="006D3946" w:rsidP="00A70522">
      <w:pPr>
        <w:rPr>
          <w:rFonts w:asciiTheme="minorHAnsi" w:hAnsiTheme="minorHAnsi" w:cstheme="minorHAnsi"/>
        </w:rPr>
      </w:pPr>
      <w:r w:rsidRPr="006D3946">
        <w:rPr>
          <w:rFonts w:asciiTheme="minorHAnsi" w:hAnsiTheme="minorHAnsi" w:cstheme="minorHAnsi"/>
          <w:szCs w:val="24"/>
          <w:vertAlign w:val="superscript"/>
        </w:rPr>
        <w:t>2</w:t>
      </w:r>
      <w:r w:rsidR="00A70522" w:rsidRPr="00625208">
        <w:rPr>
          <w:rFonts w:asciiTheme="minorHAnsi" w:hAnsiTheme="minorHAnsi" w:cstheme="minorHAnsi"/>
          <w:szCs w:val="24"/>
        </w:rPr>
        <w:t xml:space="preserve">Centers for Medicare &amp; Medicaid Services.  Long-Term Care Facility Resident Assessment Instrument 3.0 User’s Manual.  Version 1.18.11, October 2023:  </w:t>
      </w:r>
      <w:hyperlink r:id="rId9" w:history="1">
        <w:r w:rsidR="00A70522" w:rsidRPr="00625208">
          <w:rPr>
            <w:rStyle w:val="Hyperlink"/>
            <w:rFonts w:asciiTheme="minorHAnsi" w:hAnsiTheme="minorHAnsi" w:cstheme="minorHAnsi"/>
          </w:rPr>
          <w:t>https://www.cms.gov/Medicare/Quality-Initiatives-Patient-Assessment-Instruments/NursingHomeQualityInits/MDS30RAIManual</w:t>
        </w:r>
      </w:hyperlink>
      <w:r w:rsidR="00A70522" w:rsidRPr="00A70522">
        <w:rPr>
          <w:rFonts w:asciiTheme="minorHAnsi" w:hAnsiTheme="minorHAnsi" w:cstheme="minorHAnsi"/>
        </w:rPr>
        <w:t xml:space="preserve"> </w:t>
      </w:r>
    </w:p>
    <w:p w14:paraId="360653BE" w14:textId="77777777" w:rsidR="00A70522" w:rsidRPr="00A70522" w:rsidRDefault="00A70522" w:rsidP="00A70522">
      <w:pPr>
        <w:rPr>
          <w:rFonts w:asciiTheme="minorHAnsi" w:hAnsiTheme="minorHAnsi" w:cstheme="minorHAnsi"/>
        </w:rPr>
      </w:pPr>
    </w:p>
    <w:p w14:paraId="2BC76A5B" w14:textId="77777777" w:rsidR="00A70522" w:rsidRPr="00A70522" w:rsidRDefault="00A70522" w:rsidP="00A70522">
      <w:pPr>
        <w:rPr>
          <w:rFonts w:asciiTheme="minorHAnsi" w:hAnsiTheme="minorHAnsi" w:cstheme="minorHAnsi"/>
        </w:rPr>
      </w:pPr>
    </w:p>
    <w:p w14:paraId="1C47DFBB" w14:textId="77777777" w:rsidR="00A70522" w:rsidRPr="00A70522" w:rsidRDefault="00A70522" w:rsidP="00A70522">
      <w:pPr>
        <w:rPr>
          <w:rFonts w:asciiTheme="minorHAnsi" w:hAnsiTheme="minorHAnsi" w:cstheme="minorHAnsi"/>
        </w:rPr>
      </w:pPr>
    </w:p>
    <w:p w14:paraId="0C5EC508" w14:textId="77777777" w:rsidR="00A70522" w:rsidRDefault="00A70522" w:rsidP="00A70522"/>
    <w:p w14:paraId="2AB96AF2" w14:textId="77777777" w:rsidR="00A70522" w:rsidRDefault="00A70522" w:rsidP="00A70522"/>
    <w:p w14:paraId="264891BE" w14:textId="77777777" w:rsidR="00A70522" w:rsidRDefault="00A70522" w:rsidP="00A70522"/>
    <w:p w14:paraId="490BF8F8" w14:textId="77777777" w:rsidR="00A70522" w:rsidRDefault="00A70522" w:rsidP="00A70522"/>
    <w:p w14:paraId="6B5B1EDA" w14:textId="77777777" w:rsidR="00A70522" w:rsidRDefault="00A70522" w:rsidP="00A70522"/>
    <w:p w14:paraId="21BB8C74" w14:textId="77777777" w:rsidR="00A70522" w:rsidRDefault="00A70522" w:rsidP="00A70522"/>
    <w:p w14:paraId="33081057" w14:textId="77777777" w:rsidR="00A70522" w:rsidRDefault="00A70522" w:rsidP="00A70522"/>
    <w:p w14:paraId="5767970C" w14:textId="77777777" w:rsidR="00A70522" w:rsidRDefault="00A70522" w:rsidP="00A70522"/>
    <w:p w14:paraId="3C1A7F1A" w14:textId="77777777" w:rsidR="00A70522" w:rsidRDefault="00A70522" w:rsidP="00A70522"/>
    <w:p w14:paraId="5F8AD6D2" w14:textId="77777777" w:rsidR="00A70522" w:rsidRDefault="00A70522" w:rsidP="00A70522"/>
    <w:sectPr w:rsidR="00A70522"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9B7F" w14:textId="77777777" w:rsidR="00C07218" w:rsidRDefault="00C07218" w:rsidP="00FE158D">
      <w:r>
        <w:separator/>
      </w:r>
    </w:p>
  </w:endnote>
  <w:endnote w:type="continuationSeparator" w:id="0">
    <w:p w14:paraId="2D6534DF" w14:textId="77777777" w:rsidR="00C07218" w:rsidRDefault="00C0721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2053" w14:textId="77777777" w:rsidR="00C07218" w:rsidRDefault="00C07218" w:rsidP="00FE158D">
      <w:r>
        <w:separator/>
      </w:r>
    </w:p>
  </w:footnote>
  <w:footnote w:type="continuationSeparator" w:id="0">
    <w:p w14:paraId="636C9CAC" w14:textId="77777777" w:rsidR="00C07218" w:rsidRDefault="00C07218"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12ABA"/>
    <w:multiLevelType w:val="hybridMultilevel"/>
    <w:tmpl w:val="952A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1"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6"/>
  </w:num>
  <w:num w:numId="2" w16cid:durableId="103622501">
    <w:abstractNumId w:val="33"/>
  </w:num>
  <w:num w:numId="3" w16cid:durableId="2107460121">
    <w:abstractNumId w:val="25"/>
  </w:num>
  <w:num w:numId="4" w16cid:durableId="315956492">
    <w:abstractNumId w:val="31"/>
  </w:num>
  <w:num w:numId="5" w16cid:durableId="2136409435">
    <w:abstractNumId w:val="10"/>
  </w:num>
  <w:num w:numId="6" w16cid:durableId="1357846870">
    <w:abstractNumId w:val="27"/>
  </w:num>
  <w:num w:numId="7" w16cid:durableId="3982131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19"/>
  </w:num>
  <w:num w:numId="10" w16cid:durableId="61487259">
    <w:abstractNumId w:val="20"/>
  </w:num>
  <w:num w:numId="11" w16cid:durableId="726876866">
    <w:abstractNumId w:val="15"/>
  </w:num>
  <w:num w:numId="12" w16cid:durableId="1899897450">
    <w:abstractNumId w:val="29"/>
  </w:num>
  <w:num w:numId="13" w16cid:durableId="99108190">
    <w:abstractNumId w:val="9"/>
  </w:num>
  <w:num w:numId="14" w16cid:durableId="972635690">
    <w:abstractNumId w:val="8"/>
  </w:num>
  <w:num w:numId="15" w16cid:durableId="299266596">
    <w:abstractNumId w:val="5"/>
  </w:num>
  <w:num w:numId="16" w16cid:durableId="1957131368">
    <w:abstractNumId w:val="13"/>
  </w:num>
  <w:num w:numId="17" w16cid:durableId="2055233907">
    <w:abstractNumId w:val="34"/>
  </w:num>
  <w:num w:numId="18" w16cid:durableId="1101989952">
    <w:abstractNumId w:val="3"/>
  </w:num>
  <w:num w:numId="19" w16cid:durableId="850486595">
    <w:abstractNumId w:val="2"/>
  </w:num>
  <w:num w:numId="20" w16cid:durableId="1957902571">
    <w:abstractNumId w:val="28"/>
  </w:num>
  <w:num w:numId="21" w16cid:durableId="1507986864">
    <w:abstractNumId w:val="11"/>
  </w:num>
  <w:num w:numId="22" w16cid:durableId="1880048584">
    <w:abstractNumId w:val="24"/>
  </w:num>
  <w:num w:numId="23" w16cid:durableId="184945490">
    <w:abstractNumId w:val="26"/>
  </w:num>
  <w:num w:numId="24" w16cid:durableId="141893206">
    <w:abstractNumId w:val="21"/>
  </w:num>
  <w:num w:numId="25" w16cid:durableId="202984854">
    <w:abstractNumId w:val="18"/>
  </w:num>
  <w:num w:numId="26" w16cid:durableId="1846358971">
    <w:abstractNumId w:val="32"/>
  </w:num>
  <w:num w:numId="27" w16cid:durableId="951547196">
    <w:abstractNumId w:val="23"/>
  </w:num>
  <w:num w:numId="28" w16cid:durableId="1365715858">
    <w:abstractNumId w:val="1"/>
  </w:num>
  <w:num w:numId="29" w16cid:durableId="1203322149">
    <w:abstractNumId w:val="14"/>
  </w:num>
  <w:num w:numId="30" w16cid:durableId="2087025096">
    <w:abstractNumId w:val="17"/>
  </w:num>
  <w:num w:numId="31" w16cid:durableId="796291873">
    <w:abstractNumId w:val="22"/>
  </w:num>
  <w:num w:numId="32" w16cid:durableId="236944459">
    <w:abstractNumId w:val="6"/>
  </w:num>
  <w:num w:numId="33" w16cid:durableId="632633339">
    <w:abstractNumId w:val="7"/>
  </w:num>
  <w:num w:numId="34" w16cid:durableId="211216100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251E"/>
    <w:rsid w:val="001C469B"/>
    <w:rsid w:val="00211464"/>
    <w:rsid w:val="0021206A"/>
    <w:rsid w:val="00223F22"/>
    <w:rsid w:val="00234C60"/>
    <w:rsid w:val="002376A2"/>
    <w:rsid w:val="00287A2F"/>
    <w:rsid w:val="002C5F29"/>
    <w:rsid w:val="002D68EE"/>
    <w:rsid w:val="002E08E2"/>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C1FD8"/>
    <w:rsid w:val="00513627"/>
    <w:rsid w:val="0051471B"/>
    <w:rsid w:val="00527903"/>
    <w:rsid w:val="00534CAA"/>
    <w:rsid w:val="0053732B"/>
    <w:rsid w:val="0054293C"/>
    <w:rsid w:val="005438CB"/>
    <w:rsid w:val="00544736"/>
    <w:rsid w:val="005675AE"/>
    <w:rsid w:val="005817E5"/>
    <w:rsid w:val="00593E4B"/>
    <w:rsid w:val="005A649B"/>
    <w:rsid w:val="005B3EBE"/>
    <w:rsid w:val="005E77E2"/>
    <w:rsid w:val="005F036A"/>
    <w:rsid w:val="006034EC"/>
    <w:rsid w:val="00603AC0"/>
    <w:rsid w:val="00605605"/>
    <w:rsid w:val="00610027"/>
    <w:rsid w:val="00625208"/>
    <w:rsid w:val="006338B1"/>
    <w:rsid w:val="0066706B"/>
    <w:rsid w:val="006A18F9"/>
    <w:rsid w:val="006A3CC2"/>
    <w:rsid w:val="006B2ED2"/>
    <w:rsid w:val="006C7A0C"/>
    <w:rsid w:val="006D3946"/>
    <w:rsid w:val="007251EF"/>
    <w:rsid w:val="00746482"/>
    <w:rsid w:val="00757731"/>
    <w:rsid w:val="00783084"/>
    <w:rsid w:val="007A61F1"/>
    <w:rsid w:val="007E1469"/>
    <w:rsid w:val="007F26C3"/>
    <w:rsid w:val="00805910"/>
    <w:rsid w:val="008259FB"/>
    <w:rsid w:val="00870097"/>
    <w:rsid w:val="00875A69"/>
    <w:rsid w:val="00883AD3"/>
    <w:rsid w:val="008859EC"/>
    <w:rsid w:val="008A506A"/>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36A75"/>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07218"/>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2393</Characters>
  <Application>Microsoft Office Word</Application>
  <DocSecurity>0</DocSecurity>
  <Lines>299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4</cp:revision>
  <dcterms:created xsi:type="dcterms:W3CDTF">2023-07-07T22:06:00Z</dcterms:created>
  <dcterms:modified xsi:type="dcterms:W3CDTF">2023-07-07T22:58:00Z</dcterms:modified>
</cp:coreProperties>
</file>