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3A58159D" w14:textId="04D29A4E" w:rsidR="00A70522" w:rsidRDefault="005E0351" w:rsidP="00A70522">
                            <w:pPr>
                              <w:rPr>
                                <w:rFonts w:ascii="Calibri" w:hAnsi="Calibri"/>
                                <w:b/>
                                <w:color w:val="FFFFFF" w:themeColor="background1"/>
                                <w:sz w:val="72"/>
                              </w:rPr>
                            </w:pPr>
                            <w:r>
                              <w:rPr>
                                <w:rFonts w:ascii="Calibri" w:hAnsi="Calibri"/>
                                <w:b/>
                                <w:color w:val="FFFFFF" w:themeColor="background1"/>
                                <w:sz w:val="72"/>
                              </w:rPr>
                              <w:t xml:space="preserve">Subsection </w:t>
                            </w:r>
                            <w:r w:rsidR="00A70522">
                              <w:rPr>
                                <w:rFonts w:ascii="Calibri" w:hAnsi="Calibri"/>
                                <w:b/>
                                <w:color w:val="FFFFFF" w:themeColor="background1"/>
                                <w:sz w:val="72"/>
                              </w:rPr>
                              <w:t xml:space="preserve">Section </w:t>
                            </w:r>
                            <w:r w:rsidR="002D38CC">
                              <w:rPr>
                                <w:rFonts w:ascii="Calibri" w:hAnsi="Calibri"/>
                                <w:b/>
                                <w:color w:val="FFFFFF" w:themeColor="background1"/>
                                <w:sz w:val="72"/>
                              </w:rPr>
                              <w:t>3.4</w:t>
                            </w:r>
                          </w:p>
                          <w:p w14:paraId="1D81C442" w14:textId="3CB17180" w:rsidR="009C7954" w:rsidRPr="00C82867" w:rsidRDefault="00260F85" w:rsidP="00260F85">
                            <w:pPr>
                              <w:rPr>
                                <w:rFonts w:ascii="Calibri" w:hAnsi="Calibri"/>
                                <w:b/>
                                <w:color w:val="FFFFFF" w:themeColor="background1"/>
                                <w:sz w:val="48"/>
                                <w:szCs w:val="48"/>
                              </w:rPr>
                            </w:pPr>
                            <w:r w:rsidRPr="00260F85">
                              <w:rPr>
                                <w:rFonts w:ascii="Calibri" w:hAnsi="Calibri"/>
                                <w:b/>
                                <w:color w:val="FFFFFF" w:themeColor="background1"/>
                                <w:sz w:val="72"/>
                              </w:rPr>
                              <w:t xml:space="preserve">Targeted MDS and IDT Education Templates and Recommendations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3A58159D" w14:textId="04D29A4E" w:rsidR="00A70522" w:rsidRDefault="005E0351" w:rsidP="00A70522">
                      <w:pPr>
                        <w:rPr>
                          <w:rFonts w:ascii="Calibri" w:hAnsi="Calibri"/>
                          <w:b/>
                          <w:color w:val="FFFFFF" w:themeColor="background1"/>
                          <w:sz w:val="72"/>
                        </w:rPr>
                      </w:pPr>
                      <w:r>
                        <w:rPr>
                          <w:rFonts w:ascii="Calibri" w:hAnsi="Calibri"/>
                          <w:b/>
                          <w:color w:val="FFFFFF" w:themeColor="background1"/>
                          <w:sz w:val="72"/>
                        </w:rPr>
                        <w:t xml:space="preserve">Subsection </w:t>
                      </w:r>
                      <w:r w:rsidR="00A70522">
                        <w:rPr>
                          <w:rFonts w:ascii="Calibri" w:hAnsi="Calibri"/>
                          <w:b/>
                          <w:color w:val="FFFFFF" w:themeColor="background1"/>
                          <w:sz w:val="72"/>
                        </w:rPr>
                        <w:t xml:space="preserve">Section </w:t>
                      </w:r>
                      <w:r w:rsidR="002D38CC">
                        <w:rPr>
                          <w:rFonts w:ascii="Calibri" w:hAnsi="Calibri"/>
                          <w:b/>
                          <w:color w:val="FFFFFF" w:themeColor="background1"/>
                          <w:sz w:val="72"/>
                        </w:rPr>
                        <w:t>3.4</w:t>
                      </w:r>
                    </w:p>
                    <w:p w14:paraId="1D81C442" w14:textId="3CB17180" w:rsidR="009C7954" w:rsidRPr="00C82867" w:rsidRDefault="00260F85" w:rsidP="00260F85">
                      <w:pPr>
                        <w:rPr>
                          <w:rFonts w:ascii="Calibri" w:hAnsi="Calibri"/>
                          <w:b/>
                          <w:color w:val="FFFFFF" w:themeColor="background1"/>
                          <w:sz w:val="48"/>
                          <w:szCs w:val="48"/>
                        </w:rPr>
                      </w:pPr>
                      <w:r w:rsidRPr="00260F85">
                        <w:rPr>
                          <w:rFonts w:ascii="Calibri" w:hAnsi="Calibri"/>
                          <w:b/>
                          <w:color w:val="FFFFFF" w:themeColor="background1"/>
                          <w:sz w:val="72"/>
                        </w:rPr>
                        <w:t xml:space="preserve">Targeted MDS and IDT Education Templates and Recommendations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46C5D61C" w14:textId="4FC5EAC1" w:rsidR="00A70522" w:rsidRDefault="00A70522" w:rsidP="0004147B">
      <w:pPr>
        <w:jc w:val="center"/>
        <w:rPr>
          <w:rFonts w:asciiTheme="minorHAnsi" w:hAnsiTheme="minorHAnsi" w:cstheme="minorHAnsi"/>
        </w:rPr>
      </w:pPr>
    </w:p>
    <w:p w14:paraId="659139C4" w14:textId="46E949B4" w:rsidR="005E0351" w:rsidRDefault="00F25242" w:rsidP="00260F85">
      <w:pPr>
        <w:jc w:val="center"/>
        <w:rPr>
          <w:rFonts w:asciiTheme="minorHAnsi" w:hAnsiTheme="minorHAnsi" w:cstheme="minorHAnsi"/>
          <w:b/>
          <w:bCs/>
        </w:rPr>
      </w:pPr>
      <w:r>
        <w:rPr>
          <w:rFonts w:asciiTheme="minorHAnsi" w:hAnsiTheme="minorHAnsi" w:cstheme="minorHAnsi"/>
          <w:b/>
          <w:bCs/>
        </w:rPr>
        <w:t xml:space="preserve">Overview: </w:t>
      </w:r>
      <w:r w:rsidR="00260F85" w:rsidRPr="00260F85">
        <w:rPr>
          <w:rFonts w:asciiTheme="minorHAnsi" w:hAnsiTheme="minorHAnsi" w:cstheme="minorHAnsi"/>
          <w:b/>
          <w:bCs/>
        </w:rPr>
        <w:t>Targeted MDS and IDT Education Templates and Recommendations</w:t>
      </w:r>
    </w:p>
    <w:p w14:paraId="60C4DEA5" w14:textId="77777777" w:rsidR="00260F85" w:rsidRDefault="00260F85" w:rsidP="00A70522">
      <w:pPr>
        <w:rPr>
          <w:rFonts w:asciiTheme="minorHAnsi" w:hAnsiTheme="minorHAnsi" w:cstheme="minorHAnsi"/>
          <w:b/>
          <w:bCs/>
        </w:rPr>
      </w:pPr>
    </w:p>
    <w:p w14:paraId="0C909558" w14:textId="77777777" w:rsidR="001B0DB8" w:rsidRPr="001B0DB8" w:rsidRDefault="001B0DB8" w:rsidP="00A70522">
      <w:pPr>
        <w:rPr>
          <w:rFonts w:asciiTheme="minorHAnsi" w:hAnsiTheme="minorHAnsi" w:cstheme="minorHAnsi"/>
          <w:color w:val="1A1919"/>
          <w:szCs w:val="24"/>
          <w:shd w:val="clear" w:color="auto" w:fill="FFFFFF"/>
        </w:rPr>
      </w:pPr>
      <w:r w:rsidRPr="001B0DB8">
        <w:rPr>
          <w:rFonts w:asciiTheme="minorHAnsi" w:hAnsiTheme="minorHAnsi" w:cstheme="minorHAnsi"/>
          <w:color w:val="1A1919"/>
          <w:szCs w:val="24"/>
          <w:shd w:val="clear" w:color="auto" w:fill="FFFFFF"/>
        </w:rPr>
        <w:t>Over the years, the Minimum Data Set (MDS) has evolved beyond a clinical assessment tool. It is no longer “paperwork” that any nurse can fill in. Successful completion of the MDS requires complex expertise, exposure to the nursing home environment, knowledge of the MDS coding rules, awareness of the federal nursing home regulations, deep understanding of the Medicare and Medicaid payment systems and skill in assigning and managing ICD-10-CM diagnosis codes.</w:t>
      </w:r>
    </w:p>
    <w:p w14:paraId="11DCF9AB" w14:textId="77777777" w:rsidR="001B0DB8" w:rsidRDefault="001B0DB8" w:rsidP="00A70522">
      <w:pPr>
        <w:rPr>
          <w:rFonts w:ascii="Helvetica" w:hAnsi="Helvetica" w:cs="Helvetica"/>
          <w:color w:val="1A1919"/>
          <w:sz w:val="27"/>
          <w:szCs w:val="27"/>
          <w:shd w:val="clear" w:color="auto" w:fill="FFFFFF"/>
        </w:rPr>
      </w:pPr>
    </w:p>
    <w:p w14:paraId="25E8C29C" w14:textId="21BE0545" w:rsidR="0004147B" w:rsidRDefault="00260F85" w:rsidP="00A70522">
      <w:pPr>
        <w:rPr>
          <w:rFonts w:asciiTheme="minorHAnsi" w:hAnsiTheme="minorHAnsi" w:cstheme="minorHAnsi"/>
          <w:color w:val="212121"/>
          <w:szCs w:val="24"/>
          <w:shd w:val="clear" w:color="auto" w:fill="FFFFFF"/>
        </w:rPr>
      </w:pPr>
      <w:r w:rsidRPr="00260F85">
        <w:rPr>
          <w:rFonts w:asciiTheme="minorHAnsi" w:hAnsiTheme="minorHAnsi" w:cstheme="minorHAnsi"/>
          <w:color w:val="212121"/>
          <w:szCs w:val="24"/>
          <w:shd w:val="clear" w:color="auto" w:fill="FFFFFF"/>
        </w:rPr>
        <w:t xml:space="preserve">Minimum Data Set (MDS) coordinators are </w:t>
      </w:r>
      <w:r>
        <w:rPr>
          <w:rFonts w:asciiTheme="minorHAnsi" w:hAnsiTheme="minorHAnsi" w:cstheme="minorHAnsi"/>
          <w:color w:val="212121"/>
          <w:szCs w:val="24"/>
          <w:shd w:val="clear" w:color="auto" w:fill="FFFFFF"/>
        </w:rPr>
        <w:t>key to nursing homes as their role oversees and implements</w:t>
      </w:r>
      <w:r w:rsidRPr="00260F85">
        <w:rPr>
          <w:rFonts w:asciiTheme="minorHAnsi" w:hAnsiTheme="minorHAnsi" w:cstheme="minorHAnsi"/>
          <w:color w:val="212121"/>
          <w:szCs w:val="24"/>
          <w:shd w:val="clear" w:color="auto" w:fill="FFFFFF"/>
        </w:rPr>
        <w:t xml:space="preserve"> appropriate, quality care is provided to residents</w:t>
      </w:r>
      <w:r>
        <w:rPr>
          <w:rFonts w:asciiTheme="minorHAnsi" w:hAnsiTheme="minorHAnsi" w:cstheme="minorHAnsi"/>
          <w:color w:val="212121"/>
          <w:szCs w:val="24"/>
          <w:shd w:val="clear" w:color="auto" w:fill="FFFFFF"/>
        </w:rPr>
        <w:t xml:space="preserve"> by the successful completion of the MDS</w:t>
      </w:r>
      <w:proofErr w:type="gramStart"/>
      <w:r>
        <w:rPr>
          <w:rFonts w:asciiTheme="minorHAnsi" w:hAnsiTheme="minorHAnsi" w:cstheme="minorHAnsi"/>
          <w:color w:val="212121"/>
          <w:szCs w:val="24"/>
          <w:shd w:val="clear" w:color="auto" w:fill="FFFFFF"/>
        </w:rPr>
        <w:t xml:space="preserve">.  </w:t>
      </w:r>
      <w:proofErr w:type="gramEnd"/>
      <w:r>
        <w:rPr>
          <w:rFonts w:asciiTheme="minorHAnsi" w:hAnsiTheme="minorHAnsi" w:cstheme="minorHAnsi"/>
          <w:color w:val="212121"/>
          <w:szCs w:val="24"/>
          <w:shd w:val="clear" w:color="auto" w:fill="FFFFFF"/>
        </w:rPr>
        <w:t>T</w:t>
      </w:r>
      <w:r w:rsidRPr="00260F85">
        <w:rPr>
          <w:rFonts w:asciiTheme="minorHAnsi" w:hAnsiTheme="minorHAnsi" w:cstheme="minorHAnsi"/>
          <w:color w:val="212121"/>
          <w:szCs w:val="24"/>
          <w:shd w:val="clear" w:color="auto" w:fill="FFFFFF"/>
        </w:rPr>
        <w:t xml:space="preserve">hey are responsible for coordinating and overseeing the interdisciplinary assessment and care planning processes for all residents in Medicare and Medicaid certified </w:t>
      </w:r>
      <w:r>
        <w:rPr>
          <w:rFonts w:asciiTheme="minorHAnsi" w:hAnsiTheme="minorHAnsi" w:cstheme="minorHAnsi"/>
          <w:color w:val="212121"/>
          <w:szCs w:val="24"/>
          <w:shd w:val="clear" w:color="auto" w:fill="FFFFFF"/>
        </w:rPr>
        <w:t>nursing homes</w:t>
      </w:r>
      <w:proofErr w:type="gramStart"/>
      <w:r>
        <w:rPr>
          <w:rFonts w:asciiTheme="minorHAnsi" w:hAnsiTheme="minorHAnsi" w:cstheme="minorHAnsi"/>
          <w:color w:val="212121"/>
          <w:szCs w:val="24"/>
          <w:shd w:val="clear" w:color="auto" w:fill="FFFFFF"/>
        </w:rPr>
        <w:t xml:space="preserve">.  </w:t>
      </w:r>
      <w:proofErr w:type="gramEnd"/>
      <w:r>
        <w:rPr>
          <w:rFonts w:asciiTheme="minorHAnsi" w:hAnsiTheme="minorHAnsi" w:cstheme="minorHAnsi"/>
          <w:color w:val="212121"/>
          <w:szCs w:val="24"/>
          <w:shd w:val="clear" w:color="auto" w:fill="FFFFFF"/>
        </w:rPr>
        <w:t>They p</w:t>
      </w:r>
      <w:r w:rsidRPr="00260F85">
        <w:rPr>
          <w:rFonts w:asciiTheme="minorHAnsi" w:hAnsiTheme="minorHAnsi" w:cstheme="minorHAnsi"/>
          <w:color w:val="212121"/>
          <w:szCs w:val="24"/>
          <w:shd w:val="clear" w:color="auto" w:fill="FFFFFF"/>
        </w:rPr>
        <w:t xml:space="preserve">lay a key role in assuring the accuracy of </w:t>
      </w:r>
      <w:r>
        <w:rPr>
          <w:rFonts w:asciiTheme="minorHAnsi" w:hAnsiTheme="minorHAnsi" w:cstheme="minorHAnsi"/>
          <w:color w:val="212121"/>
          <w:szCs w:val="24"/>
          <w:shd w:val="clear" w:color="auto" w:fill="FFFFFF"/>
        </w:rPr>
        <w:t xml:space="preserve">data and </w:t>
      </w:r>
      <w:r w:rsidRPr="00260F85">
        <w:rPr>
          <w:rFonts w:asciiTheme="minorHAnsi" w:hAnsiTheme="minorHAnsi" w:cstheme="minorHAnsi"/>
          <w:color w:val="212121"/>
          <w:szCs w:val="24"/>
          <w:shd w:val="clear" w:color="auto" w:fill="FFFFFF"/>
        </w:rPr>
        <w:t xml:space="preserve">information </w:t>
      </w:r>
      <w:r>
        <w:rPr>
          <w:rFonts w:asciiTheme="minorHAnsi" w:hAnsiTheme="minorHAnsi" w:cstheme="minorHAnsi"/>
          <w:color w:val="212121"/>
          <w:szCs w:val="24"/>
          <w:shd w:val="clear" w:color="auto" w:fill="FFFFFF"/>
        </w:rPr>
        <w:t xml:space="preserve">collected and </w:t>
      </w:r>
      <w:r w:rsidRPr="00260F85">
        <w:rPr>
          <w:rFonts w:asciiTheme="minorHAnsi" w:hAnsiTheme="minorHAnsi" w:cstheme="minorHAnsi"/>
          <w:color w:val="212121"/>
          <w:szCs w:val="24"/>
          <w:shd w:val="clear" w:color="auto" w:fill="FFFFFF"/>
        </w:rPr>
        <w:t xml:space="preserve">used for </w:t>
      </w:r>
      <w:r>
        <w:rPr>
          <w:rFonts w:asciiTheme="minorHAnsi" w:hAnsiTheme="minorHAnsi" w:cstheme="minorHAnsi"/>
          <w:color w:val="212121"/>
          <w:szCs w:val="24"/>
          <w:shd w:val="clear" w:color="auto" w:fill="FFFFFF"/>
        </w:rPr>
        <w:t xml:space="preserve">resident outcomes, </w:t>
      </w:r>
      <w:r w:rsidRPr="00260F85">
        <w:rPr>
          <w:rFonts w:asciiTheme="minorHAnsi" w:hAnsiTheme="minorHAnsi" w:cstheme="minorHAnsi"/>
          <w:color w:val="212121"/>
          <w:szCs w:val="24"/>
          <w:shd w:val="clear" w:color="auto" w:fill="FFFFFF"/>
        </w:rPr>
        <w:t xml:space="preserve">quality measures and </w:t>
      </w:r>
      <w:r>
        <w:rPr>
          <w:rFonts w:asciiTheme="minorHAnsi" w:hAnsiTheme="minorHAnsi" w:cstheme="minorHAnsi"/>
          <w:color w:val="212121"/>
          <w:szCs w:val="24"/>
          <w:shd w:val="clear" w:color="auto" w:fill="FFFFFF"/>
        </w:rPr>
        <w:t>reimbursement processes</w:t>
      </w:r>
      <w:r w:rsidRPr="00260F85">
        <w:rPr>
          <w:rFonts w:asciiTheme="minorHAnsi" w:hAnsiTheme="minorHAnsi" w:cstheme="minorHAnsi"/>
          <w:color w:val="212121"/>
          <w:szCs w:val="24"/>
          <w:shd w:val="clear" w:color="auto" w:fill="FFFFFF"/>
        </w:rPr>
        <w:t xml:space="preserve">. </w:t>
      </w:r>
      <w:r w:rsidR="001B0DB8">
        <w:rPr>
          <w:rFonts w:asciiTheme="minorHAnsi" w:hAnsiTheme="minorHAnsi" w:cstheme="minorHAnsi"/>
          <w:color w:val="212121"/>
          <w:szCs w:val="24"/>
          <w:shd w:val="clear" w:color="auto" w:fill="FFFFFF"/>
        </w:rPr>
        <w:t>From admission to discharge, the MDS Coordinator manages and interprets data and information needed to complete the MDS/RAI process and correlating assessments</w:t>
      </w:r>
      <w:proofErr w:type="gramStart"/>
      <w:r w:rsidR="001B0DB8">
        <w:rPr>
          <w:rFonts w:asciiTheme="minorHAnsi" w:hAnsiTheme="minorHAnsi" w:cstheme="minorHAnsi"/>
          <w:color w:val="212121"/>
          <w:szCs w:val="24"/>
          <w:shd w:val="clear" w:color="auto" w:fill="FFFFFF"/>
        </w:rPr>
        <w:t xml:space="preserve">.  </w:t>
      </w:r>
      <w:proofErr w:type="gramEnd"/>
    </w:p>
    <w:p w14:paraId="740B2D1E" w14:textId="77777777" w:rsidR="00260F85" w:rsidRDefault="00260F85" w:rsidP="00A70522">
      <w:pPr>
        <w:rPr>
          <w:rFonts w:asciiTheme="minorHAnsi" w:hAnsiTheme="minorHAnsi" w:cstheme="minorHAnsi"/>
          <w:color w:val="212121"/>
          <w:szCs w:val="24"/>
          <w:shd w:val="clear" w:color="auto" w:fill="FFFFFF"/>
        </w:rPr>
      </w:pPr>
    </w:p>
    <w:p w14:paraId="6ADD126E" w14:textId="77777777" w:rsidR="001B0DB8" w:rsidRDefault="00260F85" w:rsidP="00A70522">
      <w:pPr>
        <w:rPr>
          <w:rFonts w:asciiTheme="minorHAnsi" w:hAnsiTheme="minorHAnsi" w:cstheme="minorHAnsi"/>
          <w:color w:val="212121"/>
          <w:szCs w:val="24"/>
          <w:shd w:val="clear" w:color="auto" w:fill="FFFFFF"/>
        </w:rPr>
      </w:pPr>
      <w:r>
        <w:rPr>
          <w:rFonts w:asciiTheme="minorHAnsi" w:hAnsiTheme="minorHAnsi" w:cstheme="minorHAnsi"/>
          <w:color w:val="212121"/>
          <w:szCs w:val="24"/>
          <w:shd w:val="clear" w:color="auto" w:fill="FFFFFF"/>
        </w:rPr>
        <w:t>MDS Coordinator or Nurse Assessment Coordinator orientation, education and ongoing education is paramount to the success of this pivotal role and organizational outcomes</w:t>
      </w:r>
      <w:proofErr w:type="gramStart"/>
      <w:r>
        <w:rPr>
          <w:rFonts w:asciiTheme="minorHAnsi" w:hAnsiTheme="minorHAnsi" w:cstheme="minorHAnsi"/>
          <w:color w:val="212121"/>
          <w:szCs w:val="24"/>
          <w:shd w:val="clear" w:color="auto" w:fill="FFFFFF"/>
        </w:rPr>
        <w:t xml:space="preserve">.  </w:t>
      </w:r>
      <w:proofErr w:type="gramEnd"/>
    </w:p>
    <w:tbl>
      <w:tblPr>
        <w:tblW w:w="5000" w:type="pct"/>
        <w:shd w:val="clear" w:color="auto" w:fill="FFFFFF"/>
        <w:tblCellMar>
          <w:left w:w="0" w:type="dxa"/>
          <w:right w:w="0" w:type="dxa"/>
        </w:tblCellMar>
        <w:tblLook w:val="04A0" w:firstRow="1" w:lastRow="0" w:firstColumn="1" w:lastColumn="0" w:noHBand="0" w:noVBand="1"/>
      </w:tblPr>
      <w:tblGrid>
        <w:gridCol w:w="9360"/>
      </w:tblGrid>
      <w:tr w:rsidR="001B0DB8" w:rsidRPr="001B0DB8" w14:paraId="7896D7FC" w14:textId="77777777" w:rsidTr="001B0DB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B0DB8" w:rsidRPr="001B0DB8" w14:paraId="2C13FE38" w14:textId="77777777" w:rsidTr="001B0DB8">
              <w:tc>
                <w:tcPr>
                  <w:tcW w:w="0" w:type="auto"/>
                  <w:shd w:val="clear" w:color="auto" w:fill="auto"/>
                  <w:hideMark/>
                </w:tcPr>
                <w:p w14:paraId="5F17418F" w14:textId="31E8CB7D" w:rsidR="001B0DB8" w:rsidRPr="001B0DB8" w:rsidRDefault="001B0DB8" w:rsidP="001B0DB8">
                  <w:pPr>
                    <w:spacing w:before="100" w:beforeAutospacing="1" w:after="100" w:afterAutospacing="1"/>
                    <w:rPr>
                      <w:rFonts w:asciiTheme="minorHAnsi" w:hAnsiTheme="minorHAnsi" w:cstheme="minorHAnsi"/>
                      <w:szCs w:val="24"/>
                    </w:rPr>
                  </w:pPr>
                  <w:r w:rsidRPr="001B0DB8">
                    <w:rPr>
                      <w:rFonts w:asciiTheme="minorHAnsi" w:hAnsiTheme="minorHAnsi" w:cstheme="minorHAnsi"/>
                      <w:szCs w:val="24"/>
                    </w:rPr>
                    <w:t xml:space="preserve">To support the ongoing success of the MDS Coordinator, </w:t>
                  </w:r>
                  <w:r w:rsidR="00812C05" w:rsidRPr="001B0DB8">
                    <w:rPr>
                      <w:rFonts w:asciiTheme="minorHAnsi" w:hAnsiTheme="minorHAnsi" w:cstheme="minorHAnsi"/>
                      <w:szCs w:val="24"/>
                    </w:rPr>
                    <w:t>it</w:t>
                  </w:r>
                  <w:r w:rsidRPr="001B0DB8">
                    <w:rPr>
                      <w:rFonts w:asciiTheme="minorHAnsi" w:hAnsiTheme="minorHAnsi" w:cstheme="minorHAnsi"/>
                      <w:szCs w:val="24"/>
                    </w:rPr>
                    <w:t xml:space="preserve"> is important to </w:t>
                  </w:r>
                  <w:r w:rsidR="00812C05">
                    <w:rPr>
                      <w:rFonts w:asciiTheme="minorHAnsi" w:hAnsiTheme="minorHAnsi" w:cstheme="minorHAnsi"/>
                      <w:szCs w:val="24"/>
                    </w:rPr>
                    <w:t>support and provide</w:t>
                  </w:r>
                  <w:r w:rsidRPr="001B0DB8">
                    <w:rPr>
                      <w:rFonts w:asciiTheme="minorHAnsi" w:hAnsiTheme="minorHAnsi" w:cstheme="minorHAnsi"/>
                      <w:szCs w:val="24"/>
                    </w:rPr>
                    <w:t xml:space="preserve"> the following basic competencies:</w:t>
                  </w:r>
                </w:p>
                <w:p w14:paraId="27095BCC" w14:textId="685CE01C" w:rsidR="00812C05" w:rsidRDefault="00812C05" w:rsidP="001B0DB8">
                  <w:pPr>
                    <w:numPr>
                      <w:ilvl w:val="0"/>
                      <w:numId w:val="37"/>
                    </w:numPr>
                    <w:spacing w:before="100" w:beforeAutospacing="1" w:after="100" w:afterAutospacing="1"/>
                    <w:rPr>
                      <w:rFonts w:asciiTheme="minorHAnsi" w:hAnsiTheme="minorHAnsi" w:cstheme="minorHAnsi"/>
                      <w:szCs w:val="24"/>
                    </w:rPr>
                  </w:pPr>
                  <w:r>
                    <w:rPr>
                      <w:rFonts w:asciiTheme="minorHAnsi" w:hAnsiTheme="minorHAnsi" w:cstheme="minorHAnsi"/>
                      <w:szCs w:val="24"/>
                    </w:rPr>
                    <w:t>Detailed orientation or onboarding process as well as an ongoing training plan</w:t>
                  </w:r>
                </w:p>
                <w:p w14:paraId="37930C9A" w14:textId="4AB1642E" w:rsidR="00812C05" w:rsidRDefault="00812C05" w:rsidP="001B0DB8">
                  <w:pPr>
                    <w:numPr>
                      <w:ilvl w:val="0"/>
                      <w:numId w:val="37"/>
                    </w:numPr>
                    <w:spacing w:before="100" w:beforeAutospacing="1" w:after="100" w:afterAutospacing="1"/>
                    <w:rPr>
                      <w:rFonts w:asciiTheme="minorHAnsi" w:hAnsiTheme="minorHAnsi" w:cstheme="minorHAnsi"/>
                      <w:szCs w:val="24"/>
                    </w:rPr>
                  </w:pPr>
                  <w:r>
                    <w:rPr>
                      <w:rFonts w:asciiTheme="minorHAnsi" w:hAnsiTheme="minorHAnsi" w:cstheme="minorHAnsi"/>
                      <w:szCs w:val="24"/>
                    </w:rPr>
                    <w:t>IDT specific training on the MDS/RAI process during orientation and ongoing – this will support the MDS Coordinator</w:t>
                  </w:r>
                </w:p>
                <w:p w14:paraId="1A3B02FD" w14:textId="4AD34BA2" w:rsidR="001B0DB8" w:rsidRPr="001B0DB8" w:rsidRDefault="001B0DB8" w:rsidP="001B0DB8">
                  <w:pPr>
                    <w:numPr>
                      <w:ilvl w:val="0"/>
                      <w:numId w:val="37"/>
                    </w:numPr>
                    <w:spacing w:before="100" w:beforeAutospacing="1" w:after="100" w:afterAutospacing="1"/>
                    <w:rPr>
                      <w:rFonts w:asciiTheme="minorHAnsi" w:hAnsiTheme="minorHAnsi" w:cstheme="minorHAnsi"/>
                      <w:szCs w:val="24"/>
                    </w:rPr>
                  </w:pPr>
                  <w:r w:rsidRPr="001B0DB8">
                    <w:rPr>
                      <w:rFonts w:asciiTheme="minorHAnsi" w:hAnsiTheme="minorHAnsi" w:cstheme="minorHAnsi"/>
                      <w:szCs w:val="24"/>
                    </w:rPr>
                    <w:t>Detailed knowledge of correct coding rules for the MDS and Care Area Assessments</w:t>
                  </w:r>
                </w:p>
                <w:p w14:paraId="64EE56EF" w14:textId="77777777" w:rsidR="001B0DB8" w:rsidRPr="001B0DB8" w:rsidRDefault="001B0DB8" w:rsidP="001B0DB8">
                  <w:pPr>
                    <w:numPr>
                      <w:ilvl w:val="0"/>
                      <w:numId w:val="37"/>
                    </w:numPr>
                    <w:spacing w:before="100" w:beforeAutospacing="1" w:after="100" w:afterAutospacing="1"/>
                    <w:rPr>
                      <w:rFonts w:asciiTheme="minorHAnsi" w:hAnsiTheme="minorHAnsi" w:cstheme="minorHAnsi"/>
                      <w:szCs w:val="24"/>
                    </w:rPr>
                  </w:pPr>
                  <w:r w:rsidRPr="001B0DB8">
                    <w:rPr>
                      <w:rFonts w:asciiTheme="minorHAnsi" w:hAnsiTheme="minorHAnsi" w:cstheme="minorHAnsi"/>
                      <w:szCs w:val="24"/>
                    </w:rPr>
                    <w:t>Robust understanding of the Medicare PDPM payment classification system</w:t>
                  </w:r>
                </w:p>
                <w:p w14:paraId="268A036A" w14:textId="77777777" w:rsidR="001B0DB8" w:rsidRPr="001B0DB8" w:rsidRDefault="001B0DB8" w:rsidP="001B0DB8">
                  <w:pPr>
                    <w:numPr>
                      <w:ilvl w:val="0"/>
                      <w:numId w:val="37"/>
                    </w:numPr>
                    <w:spacing w:before="100" w:beforeAutospacing="1" w:after="100" w:afterAutospacing="1"/>
                    <w:rPr>
                      <w:rFonts w:asciiTheme="minorHAnsi" w:hAnsiTheme="minorHAnsi" w:cstheme="minorHAnsi"/>
                      <w:szCs w:val="24"/>
                    </w:rPr>
                  </w:pPr>
                  <w:r w:rsidRPr="001B0DB8">
                    <w:rPr>
                      <w:rFonts w:asciiTheme="minorHAnsi" w:hAnsiTheme="minorHAnsi" w:cstheme="minorHAnsi"/>
                      <w:szCs w:val="24"/>
                    </w:rPr>
                    <w:t>Thorough familiarity with the Official Coding Guidelines for ICD-10-CM diagnosis coding</w:t>
                  </w:r>
                </w:p>
                <w:p w14:paraId="17B1C543" w14:textId="4231FB4E" w:rsidR="001B0DB8" w:rsidRPr="001B0DB8" w:rsidRDefault="001B0DB8" w:rsidP="001B0DB8">
                  <w:pPr>
                    <w:numPr>
                      <w:ilvl w:val="0"/>
                      <w:numId w:val="37"/>
                    </w:numPr>
                    <w:spacing w:before="100" w:beforeAutospacing="1" w:after="100" w:afterAutospacing="1"/>
                    <w:rPr>
                      <w:rFonts w:asciiTheme="minorHAnsi" w:hAnsiTheme="minorHAnsi" w:cstheme="minorHAnsi"/>
                      <w:szCs w:val="24"/>
                    </w:rPr>
                  </w:pPr>
                  <w:r w:rsidRPr="001B0DB8">
                    <w:rPr>
                      <w:rFonts w:asciiTheme="minorHAnsi" w:hAnsiTheme="minorHAnsi" w:cstheme="minorHAnsi"/>
                      <w:szCs w:val="24"/>
                    </w:rPr>
                    <w:t xml:space="preserve">Command of the data used for Quality </w:t>
                  </w:r>
                  <w:r w:rsidR="00812C05">
                    <w:rPr>
                      <w:rFonts w:asciiTheme="minorHAnsi" w:hAnsiTheme="minorHAnsi" w:cstheme="minorHAnsi"/>
                      <w:szCs w:val="24"/>
                    </w:rPr>
                    <w:t>M</w:t>
                  </w:r>
                  <w:r w:rsidRPr="001B0DB8">
                    <w:rPr>
                      <w:rFonts w:asciiTheme="minorHAnsi" w:hAnsiTheme="minorHAnsi" w:cstheme="minorHAnsi"/>
                      <w:szCs w:val="24"/>
                    </w:rPr>
                    <w:t>easures, the SNF Quality Reporting Program and Value-Based Purchasing</w:t>
                  </w:r>
                </w:p>
                <w:p w14:paraId="19E96752" w14:textId="77777777" w:rsidR="001B0DB8" w:rsidRPr="001B0DB8" w:rsidRDefault="001B0DB8" w:rsidP="001B0DB8">
                  <w:pPr>
                    <w:numPr>
                      <w:ilvl w:val="0"/>
                      <w:numId w:val="37"/>
                    </w:numPr>
                    <w:spacing w:before="100" w:beforeAutospacing="1" w:after="100" w:afterAutospacing="1"/>
                    <w:rPr>
                      <w:rFonts w:asciiTheme="minorHAnsi" w:hAnsiTheme="minorHAnsi" w:cstheme="minorHAnsi"/>
                      <w:szCs w:val="24"/>
                    </w:rPr>
                  </w:pPr>
                  <w:r w:rsidRPr="001B0DB8">
                    <w:rPr>
                      <w:rFonts w:asciiTheme="minorHAnsi" w:hAnsiTheme="minorHAnsi" w:cstheme="minorHAnsi"/>
                      <w:szCs w:val="24"/>
                    </w:rPr>
                    <w:t>Exposure to the nursing home regulations and survey process</w:t>
                  </w:r>
                </w:p>
                <w:p w14:paraId="2A2D6F4F" w14:textId="77777777" w:rsidR="001B0DB8" w:rsidRPr="001B0DB8" w:rsidRDefault="001B0DB8" w:rsidP="001B0DB8">
                  <w:pPr>
                    <w:numPr>
                      <w:ilvl w:val="0"/>
                      <w:numId w:val="37"/>
                    </w:numPr>
                    <w:spacing w:before="100" w:beforeAutospacing="1" w:after="100" w:afterAutospacing="1"/>
                    <w:rPr>
                      <w:szCs w:val="24"/>
                    </w:rPr>
                  </w:pPr>
                  <w:r w:rsidRPr="001B0DB8">
                    <w:rPr>
                      <w:rFonts w:asciiTheme="minorHAnsi" w:hAnsiTheme="minorHAnsi" w:cstheme="minorHAnsi"/>
                      <w:szCs w:val="24"/>
                    </w:rPr>
                    <w:t>Comprehensive skill in the use of the organization’s electronic health record</w:t>
                  </w:r>
                </w:p>
              </w:tc>
            </w:tr>
          </w:tbl>
          <w:p w14:paraId="160C7FFD" w14:textId="77777777" w:rsidR="001B0DB8" w:rsidRPr="001B0DB8" w:rsidRDefault="001B0DB8" w:rsidP="001B0DB8">
            <w:pPr>
              <w:rPr>
                <w:rFonts w:ascii="Helvetica" w:hAnsi="Helvetica" w:cs="Helvetica"/>
                <w:color w:val="1A1919"/>
                <w:sz w:val="27"/>
                <w:szCs w:val="27"/>
              </w:rPr>
            </w:pPr>
          </w:p>
        </w:tc>
      </w:tr>
    </w:tbl>
    <w:p w14:paraId="4DE8DEE6" w14:textId="77777777" w:rsidR="001B0DB8" w:rsidRPr="001B0DB8" w:rsidRDefault="001B0DB8" w:rsidP="001B0DB8">
      <w:pPr>
        <w:rPr>
          <w:vanish/>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B0DB8" w:rsidRPr="001B0DB8" w14:paraId="359F6864" w14:textId="77777777" w:rsidTr="001B0DB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B0DB8" w:rsidRPr="001B0DB8" w14:paraId="3BEEE547" w14:textId="77777777">
              <w:tc>
                <w:tcPr>
                  <w:tcW w:w="0" w:type="auto"/>
                  <w:shd w:val="clear" w:color="auto" w:fill="auto"/>
                  <w:hideMark/>
                </w:tcPr>
                <w:p w14:paraId="79BBFD3C" w14:textId="2A00D95D" w:rsidR="001B0DB8" w:rsidRPr="001B0DB8" w:rsidRDefault="001B0DB8" w:rsidP="001B0DB8">
                  <w:pPr>
                    <w:jc w:val="center"/>
                    <w:divId w:val="1300452014"/>
                    <w:rPr>
                      <w:szCs w:val="24"/>
                    </w:rPr>
                  </w:pPr>
                  <w:r w:rsidRPr="001B0DB8">
                    <w:rPr>
                      <w:noProof/>
                      <w:szCs w:val="24"/>
                    </w:rPr>
                    <w:drawing>
                      <wp:inline distT="0" distB="0" distL="0" distR="0" wp14:anchorId="3E18F90D" wp14:editId="4B69842F">
                        <wp:extent cx="5715000" cy="1247775"/>
                        <wp:effectExtent l="0" t="0" r="0" b="9525"/>
                        <wp:docPr id="1032446295" name="Picture 1" descr="A blue circl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446295" name="Picture 1" descr="A blue circles with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247775"/>
                                </a:xfrm>
                                <a:prstGeom prst="rect">
                                  <a:avLst/>
                                </a:prstGeom>
                                <a:noFill/>
                                <a:ln>
                                  <a:noFill/>
                                </a:ln>
                              </pic:spPr>
                            </pic:pic>
                          </a:graphicData>
                        </a:graphic>
                      </wp:inline>
                    </w:drawing>
                  </w:r>
                </w:p>
              </w:tc>
            </w:tr>
          </w:tbl>
          <w:p w14:paraId="56DE9FA5" w14:textId="77777777" w:rsidR="001B0DB8" w:rsidRPr="001B0DB8" w:rsidRDefault="001B0DB8" w:rsidP="001B0DB8">
            <w:pPr>
              <w:rPr>
                <w:rFonts w:ascii="Helvetica" w:hAnsi="Helvetica" w:cs="Helvetica"/>
                <w:color w:val="1A1919"/>
                <w:sz w:val="27"/>
                <w:szCs w:val="27"/>
              </w:rPr>
            </w:pPr>
          </w:p>
        </w:tc>
      </w:tr>
    </w:tbl>
    <w:p w14:paraId="1F378ECB" w14:textId="17E943DC" w:rsidR="001B0DB8" w:rsidRDefault="001B0DB8" w:rsidP="00A70522">
      <w:pPr>
        <w:rPr>
          <w:rFonts w:asciiTheme="minorHAnsi" w:hAnsiTheme="minorHAnsi" w:cstheme="minorHAnsi"/>
          <w:color w:val="212121"/>
          <w:szCs w:val="24"/>
          <w:shd w:val="clear" w:color="auto" w:fill="FFFFFF"/>
        </w:rPr>
      </w:pPr>
    </w:p>
    <w:p w14:paraId="59CB11FF" w14:textId="77777777" w:rsidR="001B0DB8" w:rsidRDefault="001B0DB8" w:rsidP="00A70522">
      <w:pPr>
        <w:rPr>
          <w:rFonts w:asciiTheme="minorHAnsi" w:hAnsiTheme="minorHAnsi" w:cstheme="minorHAnsi"/>
          <w:color w:val="212121"/>
          <w:szCs w:val="24"/>
          <w:shd w:val="clear" w:color="auto" w:fill="FFFFFF"/>
        </w:rPr>
      </w:pPr>
    </w:p>
    <w:p w14:paraId="74B47F88" w14:textId="77777777" w:rsidR="00812C05" w:rsidRPr="00812C05" w:rsidRDefault="00812C05" w:rsidP="00A70522">
      <w:pPr>
        <w:rPr>
          <w:rFonts w:asciiTheme="minorHAnsi" w:hAnsiTheme="minorHAnsi" w:cstheme="minorHAnsi"/>
          <w:b/>
          <w:bCs/>
          <w:color w:val="212121"/>
          <w:szCs w:val="24"/>
          <w:shd w:val="clear" w:color="auto" w:fill="FFFFFF"/>
        </w:rPr>
      </w:pPr>
      <w:r w:rsidRPr="00812C05">
        <w:rPr>
          <w:rFonts w:asciiTheme="minorHAnsi" w:hAnsiTheme="minorHAnsi" w:cstheme="minorHAnsi"/>
          <w:b/>
          <w:bCs/>
          <w:color w:val="212121"/>
          <w:szCs w:val="24"/>
          <w:shd w:val="clear" w:color="auto" w:fill="FFFFFF"/>
        </w:rPr>
        <w:t>Leadership Role</w:t>
      </w:r>
    </w:p>
    <w:p w14:paraId="02B3F4CF" w14:textId="3D4E0221" w:rsidR="00260F85" w:rsidRDefault="00260F85" w:rsidP="00A70522">
      <w:pPr>
        <w:rPr>
          <w:rFonts w:asciiTheme="minorHAnsi" w:hAnsiTheme="minorHAnsi" w:cstheme="minorHAnsi"/>
          <w:color w:val="212121"/>
          <w:szCs w:val="24"/>
          <w:shd w:val="clear" w:color="auto" w:fill="FFFFFF"/>
        </w:rPr>
      </w:pPr>
      <w:r>
        <w:rPr>
          <w:rFonts w:asciiTheme="minorHAnsi" w:hAnsiTheme="minorHAnsi" w:cstheme="minorHAnsi"/>
          <w:color w:val="212121"/>
          <w:szCs w:val="24"/>
          <w:shd w:val="clear" w:color="auto" w:fill="FFFFFF"/>
        </w:rPr>
        <w:t>Leaders need to allocate resources including time and financial resources for detailed orientation or onboarding processes as well as ongoing education for MDS/NAC Coordinators</w:t>
      </w:r>
      <w:proofErr w:type="gramStart"/>
      <w:r>
        <w:rPr>
          <w:rFonts w:asciiTheme="minorHAnsi" w:hAnsiTheme="minorHAnsi" w:cstheme="minorHAnsi"/>
          <w:color w:val="212121"/>
          <w:szCs w:val="24"/>
          <w:shd w:val="clear" w:color="auto" w:fill="FFFFFF"/>
        </w:rPr>
        <w:t xml:space="preserve">.  </w:t>
      </w:r>
      <w:proofErr w:type="gramEnd"/>
    </w:p>
    <w:p w14:paraId="7DA4AC12" w14:textId="41D0BC98" w:rsidR="00260F85" w:rsidRDefault="00260F85" w:rsidP="00A70522">
      <w:pPr>
        <w:rPr>
          <w:rFonts w:asciiTheme="minorHAnsi" w:hAnsiTheme="minorHAnsi" w:cstheme="minorHAnsi"/>
          <w:color w:val="212121"/>
          <w:szCs w:val="24"/>
          <w:shd w:val="clear" w:color="auto" w:fill="FFFFFF"/>
        </w:rPr>
      </w:pPr>
      <w:r>
        <w:rPr>
          <w:rFonts w:asciiTheme="minorHAnsi" w:hAnsiTheme="minorHAnsi" w:cstheme="minorHAnsi"/>
          <w:color w:val="212121"/>
          <w:szCs w:val="24"/>
          <w:shd w:val="clear" w:color="auto" w:fill="FFFFFF"/>
        </w:rPr>
        <w:t>In addition, it is important to understand the need for MDS process education during the orientation process as well as on an ongoing basis for all Interdisciplinary team members</w:t>
      </w:r>
      <w:proofErr w:type="gramStart"/>
      <w:r>
        <w:rPr>
          <w:rFonts w:asciiTheme="minorHAnsi" w:hAnsiTheme="minorHAnsi" w:cstheme="minorHAnsi"/>
          <w:color w:val="212121"/>
          <w:szCs w:val="24"/>
          <w:shd w:val="clear" w:color="auto" w:fill="FFFFFF"/>
        </w:rPr>
        <w:t xml:space="preserve">.  </w:t>
      </w:r>
      <w:proofErr w:type="gramEnd"/>
    </w:p>
    <w:p w14:paraId="4B00DC5B" w14:textId="77777777" w:rsidR="00260F85" w:rsidRDefault="00260F85" w:rsidP="00A70522">
      <w:pPr>
        <w:rPr>
          <w:rFonts w:asciiTheme="minorHAnsi" w:hAnsiTheme="minorHAnsi" w:cstheme="minorHAnsi"/>
          <w:color w:val="212121"/>
          <w:szCs w:val="24"/>
          <w:shd w:val="clear" w:color="auto" w:fill="FFFFFF"/>
        </w:rPr>
      </w:pPr>
    </w:p>
    <w:p w14:paraId="0D18482D" w14:textId="5B98FFA4" w:rsidR="00260F85" w:rsidRPr="001B0DB8" w:rsidRDefault="00260F85" w:rsidP="00A70522">
      <w:pPr>
        <w:rPr>
          <w:rFonts w:asciiTheme="minorHAnsi" w:hAnsiTheme="minorHAnsi" w:cstheme="minorHAnsi"/>
          <w:b/>
          <w:bCs/>
          <w:color w:val="212121"/>
          <w:szCs w:val="24"/>
          <w:shd w:val="clear" w:color="auto" w:fill="FFFFFF"/>
        </w:rPr>
      </w:pPr>
      <w:r w:rsidRPr="001B0DB8">
        <w:rPr>
          <w:rFonts w:asciiTheme="minorHAnsi" w:hAnsiTheme="minorHAnsi" w:cstheme="minorHAnsi"/>
          <w:b/>
          <w:bCs/>
          <w:color w:val="212121"/>
          <w:szCs w:val="24"/>
          <w:shd w:val="clear" w:color="auto" w:fill="FFFFFF"/>
        </w:rPr>
        <w:t xml:space="preserve">This </w:t>
      </w:r>
      <w:r w:rsidR="00F317DA" w:rsidRPr="001B0DB8">
        <w:rPr>
          <w:rFonts w:asciiTheme="minorHAnsi" w:hAnsiTheme="minorHAnsi" w:cstheme="minorHAnsi"/>
          <w:b/>
          <w:bCs/>
          <w:color w:val="212121"/>
          <w:szCs w:val="24"/>
          <w:shd w:val="clear" w:color="auto" w:fill="FFFFFF"/>
        </w:rPr>
        <w:t>section</w:t>
      </w:r>
      <w:r w:rsidRPr="001B0DB8">
        <w:rPr>
          <w:rFonts w:asciiTheme="minorHAnsi" w:hAnsiTheme="minorHAnsi" w:cstheme="minorHAnsi"/>
          <w:b/>
          <w:bCs/>
          <w:color w:val="212121"/>
          <w:szCs w:val="24"/>
          <w:shd w:val="clear" w:color="auto" w:fill="FFFFFF"/>
        </w:rPr>
        <w:t xml:space="preserve"> of the </w:t>
      </w:r>
      <w:r w:rsidR="00F317DA" w:rsidRPr="001B0DB8">
        <w:rPr>
          <w:rFonts w:asciiTheme="minorHAnsi" w:hAnsiTheme="minorHAnsi" w:cstheme="minorHAnsi"/>
          <w:b/>
          <w:bCs/>
          <w:color w:val="212121"/>
          <w:szCs w:val="24"/>
          <w:shd w:val="clear" w:color="auto" w:fill="FFFFFF"/>
        </w:rPr>
        <w:t>T</w:t>
      </w:r>
      <w:r w:rsidRPr="001B0DB8">
        <w:rPr>
          <w:rFonts w:asciiTheme="minorHAnsi" w:hAnsiTheme="minorHAnsi" w:cstheme="minorHAnsi"/>
          <w:b/>
          <w:bCs/>
          <w:color w:val="212121"/>
          <w:szCs w:val="24"/>
          <w:shd w:val="clear" w:color="auto" w:fill="FFFFFF"/>
        </w:rPr>
        <w:t xml:space="preserve">oolkit </w:t>
      </w:r>
      <w:r w:rsidR="00F317DA" w:rsidRPr="001B0DB8">
        <w:rPr>
          <w:rFonts w:asciiTheme="minorHAnsi" w:hAnsiTheme="minorHAnsi" w:cstheme="minorHAnsi"/>
          <w:b/>
          <w:bCs/>
          <w:color w:val="212121"/>
          <w:szCs w:val="24"/>
          <w:shd w:val="clear" w:color="auto" w:fill="FFFFFF"/>
        </w:rPr>
        <w:t>includes the following</w:t>
      </w:r>
      <w:r w:rsidR="002E5A2B">
        <w:rPr>
          <w:rFonts w:asciiTheme="minorHAnsi" w:hAnsiTheme="minorHAnsi" w:cstheme="minorHAnsi"/>
          <w:b/>
          <w:bCs/>
          <w:color w:val="212121"/>
          <w:szCs w:val="24"/>
          <w:shd w:val="clear" w:color="auto" w:fill="FFFFFF"/>
        </w:rPr>
        <w:t xml:space="preserve"> tools or resources</w:t>
      </w:r>
      <w:r w:rsidR="00F317DA" w:rsidRPr="001B0DB8">
        <w:rPr>
          <w:rFonts w:asciiTheme="minorHAnsi" w:hAnsiTheme="minorHAnsi" w:cstheme="minorHAnsi"/>
          <w:b/>
          <w:bCs/>
          <w:color w:val="212121"/>
          <w:szCs w:val="24"/>
          <w:shd w:val="clear" w:color="auto" w:fill="FFFFFF"/>
        </w:rPr>
        <w:t>:</w:t>
      </w:r>
    </w:p>
    <w:p w14:paraId="37E9915A" w14:textId="1A1BAC21" w:rsidR="00F317DA" w:rsidRPr="00F317DA" w:rsidRDefault="00F317DA" w:rsidP="00F317DA">
      <w:pPr>
        <w:pStyle w:val="ListParagraph"/>
        <w:numPr>
          <w:ilvl w:val="0"/>
          <w:numId w:val="36"/>
        </w:numPr>
        <w:rPr>
          <w:rFonts w:asciiTheme="minorHAnsi" w:hAnsiTheme="minorHAnsi" w:cstheme="minorHAnsi"/>
          <w:szCs w:val="24"/>
        </w:rPr>
      </w:pPr>
      <w:r w:rsidRPr="00F317DA">
        <w:rPr>
          <w:rFonts w:asciiTheme="minorHAnsi" w:hAnsiTheme="minorHAnsi" w:cstheme="minorHAnsi"/>
          <w:szCs w:val="24"/>
        </w:rPr>
        <w:t>MDS/NAC Coordinator Orientation process and Competency Checklist</w:t>
      </w:r>
    </w:p>
    <w:p w14:paraId="37CDFC8C" w14:textId="69E6B550" w:rsidR="00F317DA" w:rsidRPr="00F317DA" w:rsidRDefault="00F317DA" w:rsidP="00F317DA">
      <w:pPr>
        <w:pStyle w:val="ListParagraph"/>
        <w:numPr>
          <w:ilvl w:val="0"/>
          <w:numId w:val="36"/>
        </w:numPr>
        <w:rPr>
          <w:rFonts w:asciiTheme="minorHAnsi" w:hAnsiTheme="minorHAnsi" w:cstheme="minorHAnsi"/>
          <w:szCs w:val="24"/>
        </w:rPr>
      </w:pPr>
      <w:r w:rsidRPr="00F317DA">
        <w:rPr>
          <w:rFonts w:asciiTheme="minorHAnsi" w:hAnsiTheme="minorHAnsi" w:cstheme="minorHAnsi"/>
          <w:szCs w:val="24"/>
        </w:rPr>
        <w:t xml:space="preserve">Interdisciplinary Team targeted education recommendations </w:t>
      </w:r>
      <w:r w:rsidR="002E5A2B">
        <w:rPr>
          <w:rFonts w:asciiTheme="minorHAnsi" w:hAnsiTheme="minorHAnsi" w:cstheme="minorHAnsi"/>
          <w:szCs w:val="24"/>
        </w:rPr>
        <w:t xml:space="preserve">for Section GG </w:t>
      </w:r>
      <w:r w:rsidRPr="00F317DA">
        <w:rPr>
          <w:rFonts w:asciiTheme="minorHAnsi" w:hAnsiTheme="minorHAnsi" w:cstheme="minorHAnsi"/>
          <w:szCs w:val="24"/>
        </w:rPr>
        <w:t xml:space="preserve">related to roles and </w:t>
      </w:r>
      <w:proofErr w:type="gramStart"/>
      <w:r w:rsidRPr="00F317DA">
        <w:rPr>
          <w:rFonts w:asciiTheme="minorHAnsi" w:hAnsiTheme="minorHAnsi" w:cstheme="minorHAnsi"/>
          <w:szCs w:val="24"/>
        </w:rPr>
        <w:t>responsibilities:</w:t>
      </w:r>
      <w:proofErr w:type="gramEnd"/>
    </w:p>
    <w:p w14:paraId="53759271" w14:textId="003BECF3" w:rsidR="00F317DA" w:rsidRPr="00F317DA" w:rsidRDefault="00F317DA" w:rsidP="00F317DA">
      <w:pPr>
        <w:pStyle w:val="ListParagraph"/>
        <w:numPr>
          <w:ilvl w:val="1"/>
          <w:numId w:val="36"/>
        </w:numPr>
        <w:rPr>
          <w:rFonts w:asciiTheme="minorHAnsi" w:hAnsiTheme="minorHAnsi" w:cstheme="minorHAnsi"/>
          <w:szCs w:val="24"/>
        </w:rPr>
      </w:pPr>
      <w:r w:rsidRPr="00F317DA">
        <w:rPr>
          <w:rFonts w:asciiTheme="minorHAnsi" w:hAnsiTheme="minorHAnsi" w:cstheme="minorHAnsi"/>
          <w:szCs w:val="24"/>
        </w:rPr>
        <w:t>Licensed Nurse</w:t>
      </w:r>
    </w:p>
    <w:p w14:paraId="4694B2EA" w14:textId="7E032E4B" w:rsidR="00F317DA" w:rsidRPr="00F317DA" w:rsidRDefault="00F317DA" w:rsidP="00F317DA">
      <w:pPr>
        <w:pStyle w:val="ListParagraph"/>
        <w:numPr>
          <w:ilvl w:val="1"/>
          <w:numId w:val="36"/>
        </w:numPr>
        <w:rPr>
          <w:rFonts w:asciiTheme="minorHAnsi" w:hAnsiTheme="minorHAnsi" w:cstheme="minorHAnsi"/>
          <w:szCs w:val="24"/>
        </w:rPr>
      </w:pPr>
      <w:r w:rsidRPr="00F317DA">
        <w:rPr>
          <w:rFonts w:asciiTheme="minorHAnsi" w:hAnsiTheme="minorHAnsi" w:cstheme="minorHAnsi"/>
          <w:szCs w:val="24"/>
        </w:rPr>
        <w:t>Unlicensed staff</w:t>
      </w:r>
    </w:p>
    <w:p w14:paraId="28DF43F9" w14:textId="147D7ACC" w:rsidR="00F317DA" w:rsidRPr="00F317DA" w:rsidRDefault="00F317DA" w:rsidP="00F317DA">
      <w:pPr>
        <w:pStyle w:val="ListParagraph"/>
        <w:numPr>
          <w:ilvl w:val="1"/>
          <w:numId w:val="36"/>
        </w:numPr>
        <w:rPr>
          <w:rFonts w:asciiTheme="minorHAnsi" w:hAnsiTheme="minorHAnsi" w:cstheme="minorHAnsi"/>
          <w:szCs w:val="24"/>
        </w:rPr>
      </w:pPr>
      <w:r w:rsidRPr="00F317DA">
        <w:rPr>
          <w:rFonts w:asciiTheme="minorHAnsi" w:hAnsiTheme="minorHAnsi" w:cstheme="minorHAnsi"/>
          <w:szCs w:val="24"/>
        </w:rPr>
        <w:t>Therapy</w:t>
      </w:r>
    </w:p>
    <w:p w14:paraId="26B89B45" w14:textId="547C940A" w:rsidR="00F317DA" w:rsidRPr="00F317DA" w:rsidRDefault="00F317DA" w:rsidP="00F317DA">
      <w:pPr>
        <w:pStyle w:val="ListParagraph"/>
        <w:numPr>
          <w:ilvl w:val="1"/>
          <w:numId w:val="36"/>
        </w:numPr>
        <w:rPr>
          <w:rFonts w:asciiTheme="minorHAnsi" w:hAnsiTheme="minorHAnsi" w:cstheme="minorHAnsi"/>
          <w:szCs w:val="24"/>
        </w:rPr>
      </w:pPr>
      <w:r w:rsidRPr="00F317DA">
        <w:rPr>
          <w:rFonts w:asciiTheme="minorHAnsi" w:hAnsiTheme="minorHAnsi" w:cstheme="minorHAnsi"/>
          <w:szCs w:val="24"/>
        </w:rPr>
        <w:t xml:space="preserve">Agency staff if applicable </w:t>
      </w:r>
    </w:p>
    <w:p w14:paraId="2DC39B16" w14:textId="77777777" w:rsidR="0004147B" w:rsidRDefault="0004147B" w:rsidP="00A70522">
      <w:pPr>
        <w:rPr>
          <w:rFonts w:asciiTheme="minorHAnsi" w:hAnsiTheme="minorHAnsi" w:cstheme="minorHAnsi"/>
          <w:b/>
          <w:bCs/>
        </w:rPr>
      </w:pPr>
    </w:p>
    <w:p w14:paraId="4D38A427" w14:textId="430E1B9E" w:rsidR="002E5A2B" w:rsidRDefault="002E5A2B" w:rsidP="00A70522">
      <w:pPr>
        <w:rPr>
          <w:rFonts w:asciiTheme="minorHAnsi" w:hAnsiTheme="minorHAnsi" w:cstheme="minorHAnsi"/>
        </w:rPr>
      </w:pPr>
      <w:r>
        <w:rPr>
          <w:rFonts w:asciiTheme="minorHAnsi" w:hAnsiTheme="minorHAnsi" w:cstheme="minorHAnsi"/>
        </w:rPr>
        <w:t>While this is not an all-inclusive list of training recommendations, they are targeted towards a MDS Coordinators orientation and specific training recommendations related to roles and responsibilities of specific IDT members for Section GG</w:t>
      </w:r>
      <w:proofErr w:type="gramStart"/>
      <w:r>
        <w:rPr>
          <w:rFonts w:asciiTheme="minorHAnsi" w:hAnsiTheme="minorHAnsi" w:cstheme="minorHAnsi"/>
        </w:rPr>
        <w:t xml:space="preserve">.  </w:t>
      </w:r>
      <w:proofErr w:type="gramEnd"/>
    </w:p>
    <w:p w14:paraId="08DB895B" w14:textId="77777777" w:rsidR="002E5A2B" w:rsidRDefault="002E5A2B" w:rsidP="00A70522">
      <w:pPr>
        <w:rPr>
          <w:rFonts w:asciiTheme="minorHAnsi" w:hAnsiTheme="minorHAnsi" w:cstheme="minorHAnsi"/>
        </w:rPr>
      </w:pPr>
    </w:p>
    <w:p w14:paraId="7B31F866" w14:textId="7240E6E8" w:rsidR="0004147B" w:rsidRPr="001B0DB8" w:rsidRDefault="001B0DB8" w:rsidP="00A70522">
      <w:pPr>
        <w:rPr>
          <w:rFonts w:asciiTheme="minorHAnsi" w:hAnsiTheme="minorHAnsi" w:cstheme="minorHAnsi"/>
        </w:rPr>
      </w:pPr>
      <w:r w:rsidRPr="001B0DB8">
        <w:rPr>
          <w:rFonts w:asciiTheme="minorHAnsi" w:hAnsiTheme="minorHAnsi" w:cstheme="minorHAnsi"/>
        </w:rPr>
        <w:t>These resources can serve as a guide</w:t>
      </w:r>
      <w:r w:rsidR="002E5A2B">
        <w:rPr>
          <w:rFonts w:asciiTheme="minorHAnsi" w:hAnsiTheme="minorHAnsi" w:cstheme="minorHAnsi"/>
        </w:rPr>
        <w:t>/template</w:t>
      </w:r>
      <w:r w:rsidRPr="001B0DB8">
        <w:rPr>
          <w:rFonts w:asciiTheme="minorHAnsi" w:hAnsiTheme="minorHAnsi" w:cstheme="minorHAnsi"/>
        </w:rPr>
        <w:t xml:space="preserve"> for leaders as they continue to </w:t>
      </w:r>
      <w:r w:rsidR="002E5A2B">
        <w:rPr>
          <w:rFonts w:asciiTheme="minorHAnsi" w:hAnsiTheme="minorHAnsi" w:cstheme="minorHAnsi"/>
        </w:rPr>
        <w:t xml:space="preserve">develop education to </w:t>
      </w:r>
      <w:r w:rsidRPr="001B0DB8">
        <w:rPr>
          <w:rFonts w:asciiTheme="minorHAnsi" w:hAnsiTheme="minorHAnsi" w:cstheme="minorHAnsi"/>
        </w:rPr>
        <w:t>support the RAI/MDS process and the MDS Coordinator(s) within their organization</w:t>
      </w:r>
      <w:r w:rsidR="002E5A2B">
        <w:rPr>
          <w:rFonts w:asciiTheme="minorHAnsi" w:hAnsiTheme="minorHAnsi" w:cstheme="minorHAnsi"/>
        </w:rPr>
        <w:t xml:space="preserve"> as well as interdisciplinary team members</w:t>
      </w:r>
      <w:proofErr w:type="gramStart"/>
      <w:r w:rsidRPr="001B0DB8">
        <w:rPr>
          <w:rFonts w:asciiTheme="minorHAnsi" w:hAnsiTheme="minorHAnsi" w:cstheme="minorHAnsi"/>
        </w:rPr>
        <w:t xml:space="preserve">.  </w:t>
      </w:r>
      <w:proofErr w:type="gramEnd"/>
    </w:p>
    <w:p w14:paraId="2C7DF2A7" w14:textId="77777777" w:rsidR="0004147B" w:rsidRDefault="0004147B" w:rsidP="00A70522">
      <w:pPr>
        <w:rPr>
          <w:rFonts w:asciiTheme="minorHAnsi" w:hAnsiTheme="minorHAnsi" w:cstheme="minorHAnsi"/>
          <w:b/>
          <w:bCs/>
        </w:rPr>
      </w:pPr>
    </w:p>
    <w:p w14:paraId="0DD5643E" w14:textId="77777777" w:rsidR="0004147B" w:rsidRDefault="0004147B" w:rsidP="00A70522">
      <w:pPr>
        <w:rPr>
          <w:rFonts w:asciiTheme="minorHAnsi" w:hAnsiTheme="minorHAnsi" w:cstheme="minorHAnsi"/>
          <w:b/>
          <w:bCs/>
        </w:rPr>
      </w:pPr>
    </w:p>
    <w:p w14:paraId="2EB3C60B" w14:textId="0F621455" w:rsidR="00A70522" w:rsidRPr="00A70522" w:rsidRDefault="00A70522" w:rsidP="00A70522">
      <w:pPr>
        <w:rPr>
          <w:rFonts w:asciiTheme="minorHAnsi" w:hAnsiTheme="minorHAnsi" w:cstheme="minorHAnsi"/>
          <w:b/>
          <w:bCs/>
        </w:rPr>
      </w:pPr>
      <w:r w:rsidRPr="00A70522">
        <w:rPr>
          <w:rFonts w:asciiTheme="minorHAnsi" w:hAnsiTheme="minorHAnsi" w:cstheme="minorHAnsi"/>
          <w:b/>
          <w:bCs/>
        </w:rPr>
        <w:t>References and Resources</w:t>
      </w:r>
    </w:p>
    <w:p w14:paraId="41C14D9E" w14:textId="77777777" w:rsidR="00A70522" w:rsidRPr="00A70522" w:rsidRDefault="00A70522" w:rsidP="00A70522">
      <w:pPr>
        <w:rPr>
          <w:rFonts w:asciiTheme="minorHAnsi" w:hAnsiTheme="minorHAnsi" w:cstheme="minorHAnsi"/>
        </w:rPr>
      </w:pPr>
    </w:p>
    <w:p w14:paraId="2FCB7407" w14:textId="49FA0B0C" w:rsidR="00A70522" w:rsidRPr="00A70522" w:rsidRDefault="00A70522" w:rsidP="00A70522">
      <w:pPr>
        <w:rPr>
          <w:rFonts w:asciiTheme="minorHAnsi" w:hAnsiTheme="minorHAnsi" w:cstheme="minorHAnsi"/>
        </w:rPr>
      </w:pPr>
      <w:r w:rsidRPr="00A70522">
        <w:rPr>
          <w:rFonts w:asciiTheme="minorHAnsi" w:hAnsiTheme="minorHAnsi" w:cstheme="minorHAnsi"/>
        </w:rPr>
        <w:t>Centers for Medicare &amp; Medicaid Services</w:t>
      </w:r>
      <w:proofErr w:type="gramStart"/>
      <w:r w:rsidRPr="00A70522">
        <w:rPr>
          <w:rFonts w:asciiTheme="minorHAnsi" w:hAnsiTheme="minorHAnsi" w:cstheme="minorHAnsi"/>
        </w:rPr>
        <w:t xml:space="preserve">.  </w:t>
      </w:r>
      <w:proofErr w:type="gramEnd"/>
      <w:r w:rsidRPr="00A70522">
        <w:rPr>
          <w:rFonts w:asciiTheme="minorHAnsi" w:hAnsiTheme="minorHAnsi" w:cstheme="minorHAnsi"/>
        </w:rPr>
        <w:t>State Operations Manual, Appendix PP – Guidance to Surveyors for Long Term Care Facilities</w:t>
      </w:r>
      <w:proofErr w:type="gramStart"/>
      <w:r w:rsidRPr="00A70522">
        <w:rPr>
          <w:rFonts w:asciiTheme="minorHAnsi" w:hAnsiTheme="minorHAnsi" w:cstheme="minorHAnsi"/>
        </w:rPr>
        <w:t xml:space="preserve">.  </w:t>
      </w:r>
      <w:proofErr w:type="gramEnd"/>
      <w:r w:rsidR="00000000">
        <w:fldChar w:fldCharType="begin"/>
      </w:r>
      <w:r w:rsidR="00000000">
        <w:instrText>HYPERLINK "https://www.cms.gov/medicare/provider-enrollment-and-certification/guidanceforlawsandregulations/downloads/appendix-pp-state-operations-manual.pdf"</w:instrText>
      </w:r>
      <w:r w:rsidR="00000000">
        <w:fldChar w:fldCharType="separate"/>
      </w:r>
      <w:r w:rsidRPr="00A70522">
        <w:rPr>
          <w:rStyle w:val="Hyperlink"/>
          <w:rFonts w:asciiTheme="minorHAnsi" w:hAnsiTheme="minorHAnsi" w:cstheme="minorHAnsi"/>
        </w:rPr>
        <w:t>https://www.cms.gov/medicare/provider-enrollment-and-certification/guidanceforlawsandregulations/downloads/appendix-pp-state-operations-manual.pdf</w:t>
      </w:r>
      <w:r w:rsidR="00000000">
        <w:rPr>
          <w:rStyle w:val="Hyperlink"/>
          <w:rFonts w:asciiTheme="minorHAnsi" w:hAnsiTheme="minorHAnsi" w:cstheme="minorHAnsi"/>
        </w:rPr>
        <w:fldChar w:fldCharType="end"/>
      </w:r>
      <w:r w:rsidRPr="00A70522">
        <w:rPr>
          <w:rFonts w:asciiTheme="minorHAnsi" w:hAnsiTheme="minorHAnsi" w:cstheme="minorHAnsi"/>
        </w:rPr>
        <w:t xml:space="preserve"> </w:t>
      </w:r>
    </w:p>
    <w:p w14:paraId="2B2EEAEA" w14:textId="77777777" w:rsidR="00A70522" w:rsidRPr="00A70522" w:rsidRDefault="00A70522" w:rsidP="00A70522">
      <w:pPr>
        <w:rPr>
          <w:rFonts w:asciiTheme="minorHAnsi" w:hAnsiTheme="minorHAnsi" w:cstheme="minorHAnsi"/>
        </w:rPr>
      </w:pPr>
    </w:p>
    <w:p w14:paraId="41F6D997" w14:textId="576CDEE2" w:rsidR="00A70522" w:rsidRPr="00A70522" w:rsidRDefault="00A70522" w:rsidP="00A70522">
      <w:pPr>
        <w:rPr>
          <w:rFonts w:asciiTheme="minorHAnsi" w:hAnsiTheme="minorHAnsi" w:cstheme="minorHAnsi"/>
        </w:rPr>
      </w:pPr>
      <w:r w:rsidRPr="00625208">
        <w:rPr>
          <w:rFonts w:asciiTheme="minorHAnsi" w:hAnsiTheme="minorHAnsi" w:cstheme="minorHAnsi"/>
          <w:szCs w:val="24"/>
        </w:rPr>
        <w:t>Centers for Medicare &amp; Medicaid Services</w:t>
      </w:r>
      <w:proofErr w:type="gramStart"/>
      <w:r w:rsidRPr="00625208">
        <w:rPr>
          <w:rFonts w:asciiTheme="minorHAnsi" w:hAnsiTheme="minorHAnsi" w:cstheme="minorHAnsi"/>
          <w:szCs w:val="24"/>
        </w:rPr>
        <w:t xml:space="preserve">.  </w:t>
      </w:r>
      <w:proofErr w:type="gramEnd"/>
      <w:r w:rsidRPr="00625208">
        <w:rPr>
          <w:rFonts w:asciiTheme="minorHAnsi" w:hAnsiTheme="minorHAnsi" w:cstheme="minorHAnsi"/>
          <w:szCs w:val="24"/>
        </w:rPr>
        <w:t>Long-Term Care Facility Resident Assessment Instrument 3.0 User’s Manual</w:t>
      </w:r>
      <w:proofErr w:type="gramStart"/>
      <w:r w:rsidRPr="00625208">
        <w:rPr>
          <w:rFonts w:asciiTheme="minorHAnsi" w:hAnsiTheme="minorHAnsi" w:cstheme="minorHAnsi"/>
          <w:szCs w:val="24"/>
        </w:rPr>
        <w:t xml:space="preserve">.  </w:t>
      </w:r>
      <w:proofErr w:type="gramEnd"/>
      <w:r w:rsidRPr="00625208">
        <w:rPr>
          <w:rFonts w:asciiTheme="minorHAnsi" w:hAnsiTheme="minorHAnsi" w:cstheme="minorHAnsi"/>
          <w:szCs w:val="24"/>
        </w:rPr>
        <w:t xml:space="preserve">Version 1.18.11, October 2023:  </w:t>
      </w:r>
      <w:hyperlink r:id="rId9" w:history="1">
        <w:r w:rsidRPr="00625208">
          <w:rPr>
            <w:rStyle w:val="Hyperlink"/>
            <w:rFonts w:asciiTheme="minorHAnsi" w:hAnsiTheme="minorHAnsi" w:cstheme="minorHAnsi"/>
          </w:rPr>
          <w:t>https://www.cms.gov/Medicare/Quality-Initiatives-Patient-Assessment-Instruments/NursingHomeQualityInits/MDS30RAIManual</w:t>
        </w:r>
      </w:hyperlink>
      <w:r w:rsidRPr="00A70522">
        <w:rPr>
          <w:rFonts w:asciiTheme="minorHAnsi" w:hAnsiTheme="minorHAnsi" w:cstheme="minorHAnsi"/>
        </w:rPr>
        <w:t xml:space="preserve"> </w:t>
      </w:r>
    </w:p>
    <w:sectPr w:rsidR="00A70522" w:rsidRPr="00A70522" w:rsidSect="00DE7AF9">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AD3D" w14:textId="77777777" w:rsidR="00271945" w:rsidRDefault="00271945" w:rsidP="00FE158D">
      <w:r>
        <w:separator/>
      </w:r>
    </w:p>
  </w:endnote>
  <w:endnote w:type="continuationSeparator" w:id="0">
    <w:p w14:paraId="3A4C7EC7" w14:textId="77777777" w:rsidR="00271945" w:rsidRDefault="0027194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This document is for general informational purposes only</w:t>
    </w:r>
    <w:proofErr w:type="gramStart"/>
    <w:r w:rsidRPr="00FE158D">
      <w:rPr>
        <w:rFonts w:asciiTheme="minorHAnsi" w:hAnsiTheme="minorHAnsi"/>
        <w:sz w:val="16"/>
        <w:szCs w:val="16"/>
      </w:rPr>
      <w:t xml:space="preserve">.  </w:t>
    </w:r>
    <w:proofErr w:type="gramEnd"/>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89BC" w14:textId="77777777" w:rsidR="00271945" w:rsidRDefault="00271945" w:rsidP="00FE158D">
      <w:r>
        <w:separator/>
      </w:r>
    </w:p>
  </w:footnote>
  <w:footnote w:type="continuationSeparator" w:id="0">
    <w:p w14:paraId="4B1136F6" w14:textId="77777777" w:rsidR="00271945" w:rsidRDefault="0027194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9A5878"/>
    <w:multiLevelType w:val="hybridMultilevel"/>
    <w:tmpl w:val="81A2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236B7B"/>
    <w:multiLevelType w:val="multilevel"/>
    <w:tmpl w:val="1954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707B88"/>
    <w:multiLevelType w:val="hybridMultilevel"/>
    <w:tmpl w:val="ABA0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4"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6"/>
  </w:num>
  <w:num w:numId="2" w16cid:durableId="103622501">
    <w:abstractNumId w:val="36"/>
  </w:num>
  <w:num w:numId="3" w16cid:durableId="2107460121">
    <w:abstractNumId w:val="26"/>
  </w:num>
  <w:num w:numId="4" w16cid:durableId="315956492">
    <w:abstractNumId w:val="34"/>
  </w:num>
  <w:num w:numId="5" w16cid:durableId="2136409435">
    <w:abstractNumId w:val="10"/>
  </w:num>
  <w:num w:numId="6" w16cid:durableId="1357846870">
    <w:abstractNumId w:val="29"/>
  </w:num>
  <w:num w:numId="7" w16cid:durableId="3982131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4"/>
  </w:num>
  <w:num w:numId="9" w16cid:durableId="497767428">
    <w:abstractNumId w:val="19"/>
  </w:num>
  <w:num w:numId="10" w16cid:durableId="61487259">
    <w:abstractNumId w:val="20"/>
  </w:num>
  <w:num w:numId="11" w16cid:durableId="726876866">
    <w:abstractNumId w:val="14"/>
  </w:num>
  <w:num w:numId="12" w16cid:durableId="1899897450">
    <w:abstractNumId w:val="32"/>
  </w:num>
  <w:num w:numId="13" w16cid:durableId="99108190">
    <w:abstractNumId w:val="9"/>
  </w:num>
  <w:num w:numId="14" w16cid:durableId="972635690">
    <w:abstractNumId w:val="8"/>
  </w:num>
  <w:num w:numId="15" w16cid:durableId="299266596">
    <w:abstractNumId w:val="5"/>
  </w:num>
  <w:num w:numId="16" w16cid:durableId="1957131368">
    <w:abstractNumId w:val="12"/>
  </w:num>
  <w:num w:numId="17" w16cid:durableId="2055233907">
    <w:abstractNumId w:val="37"/>
  </w:num>
  <w:num w:numId="18" w16cid:durableId="1101989952">
    <w:abstractNumId w:val="3"/>
  </w:num>
  <w:num w:numId="19" w16cid:durableId="850486595">
    <w:abstractNumId w:val="2"/>
  </w:num>
  <w:num w:numId="20" w16cid:durableId="1957902571">
    <w:abstractNumId w:val="31"/>
  </w:num>
  <w:num w:numId="21" w16cid:durableId="1507986864">
    <w:abstractNumId w:val="11"/>
  </w:num>
  <w:num w:numId="22" w16cid:durableId="1880048584">
    <w:abstractNumId w:val="25"/>
  </w:num>
  <w:num w:numId="23" w16cid:durableId="184945490">
    <w:abstractNumId w:val="28"/>
  </w:num>
  <w:num w:numId="24" w16cid:durableId="141893206">
    <w:abstractNumId w:val="22"/>
  </w:num>
  <w:num w:numId="25" w16cid:durableId="202984854">
    <w:abstractNumId w:val="18"/>
  </w:num>
  <w:num w:numId="26" w16cid:durableId="1846358971">
    <w:abstractNumId w:val="35"/>
  </w:num>
  <w:num w:numId="27" w16cid:durableId="951547196">
    <w:abstractNumId w:val="24"/>
  </w:num>
  <w:num w:numId="28" w16cid:durableId="1365715858">
    <w:abstractNumId w:val="1"/>
  </w:num>
  <w:num w:numId="29" w16cid:durableId="1203322149">
    <w:abstractNumId w:val="13"/>
  </w:num>
  <w:num w:numId="30" w16cid:durableId="2087025096">
    <w:abstractNumId w:val="17"/>
  </w:num>
  <w:num w:numId="31" w16cid:durableId="796291873">
    <w:abstractNumId w:val="23"/>
  </w:num>
  <w:num w:numId="32" w16cid:durableId="236944459">
    <w:abstractNumId w:val="6"/>
  </w:num>
  <w:num w:numId="33" w16cid:durableId="632633339">
    <w:abstractNumId w:val="7"/>
  </w:num>
  <w:num w:numId="34" w16cid:durableId="1265267971">
    <w:abstractNumId w:val="21"/>
  </w:num>
  <w:num w:numId="35" w16cid:durableId="1102800810">
    <w:abstractNumId w:val="15"/>
  </w:num>
  <w:num w:numId="36" w16cid:durableId="1925214307">
    <w:abstractNumId w:val="30"/>
  </w:num>
  <w:num w:numId="37" w16cid:durableId="283026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4147B"/>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797D"/>
    <w:rsid w:val="001B0DB8"/>
    <w:rsid w:val="001B251E"/>
    <w:rsid w:val="001C2C51"/>
    <w:rsid w:val="001C469B"/>
    <w:rsid w:val="00211464"/>
    <w:rsid w:val="0021206A"/>
    <w:rsid w:val="00223F22"/>
    <w:rsid w:val="00234C60"/>
    <w:rsid w:val="002376A2"/>
    <w:rsid w:val="00260F85"/>
    <w:rsid w:val="00271945"/>
    <w:rsid w:val="00287A2F"/>
    <w:rsid w:val="002C5F29"/>
    <w:rsid w:val="002D38CC"/>
    <w:rsid w:val="002D68EE"/>
    <w:rsid w:val="002E5A2B"/>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613FA"/>
    <w:rsid w:val="00484844"/>
    <w:rsid w:val="004A31F5"/>
    <w:rsid w:val="004C1FD8"/>
    <w:rsid w:val="00513627"/>
    <w:rsid w:val="0051471B"/>
    <w:rsid w:val="00527903"/>
    <w:rsid w:val="00534CAA"/>
    <w:rsid w:val="0053732B"/>
    <w:rsid w:val="00540DA7"/>
    <w:rsid w:val="0054293C"/>
    <w:rsid w:val="005438CB"/>
    <w:rsid w:val="005675AE"/>
    <w:rsid w:val="005817E5"/>
    <w:rsid w:val="00593E4B"/>
    <w:rsid w:val="005B3EBE"/>
    <w:rsid w:val="005E0351"/>
    <w:rsid w:val="005E77E2"/>
    <w:rsid w:val="005F036A"/>
    <w:rsid w:val="006034EC"/>
    <w:rsid w:val="00603AC0"/>
    <w:rsid w:val="00605605"/>
    <w:rsid w:val="00610027"/>
    <w:rsid w:val="00625208"/>
    <w:rsid w:val="006338B1"/>
    <w:rsid w:val="0066706B"/>
    <w:rsid w:val="006A18F9"/>
    <w:rsid w:val="006A3CC2"/>
    <w:rsid w:val="006B2ED2"/>
    <w:rsid w:val="006C7A0C"/>
    <w:rsid w:val="007251EF"/>
    <w:rsid w:val="00746482"/>
    <w:rsid w:val="00757731"/>
    <w:rsid w:val="00783084"/>
    <w:rsid w:val="007A61F1"/>
    <w:rsid w:val="007E1469"/>
    <w:rsid w:val="007F26C3"/>
    <w:rsid w:val="00805910"/>
    <w:rsid w:val="00812C05"/>
    <w:rsid w:val="00821F40"/>
    <w:rsid w:val="008259FB"/>
    <w:rsid w:val="00870097"/>
    <w:rsid w:val="00875A69"/>
    <w:rsid w:val="00883AD3"/>
    <w:rsid w:val="008859EC"/>
    <w:rsid w:val="008A506A"/>
    <w:rsid w:val="008E7224"/>
    <w:rsid w:val="008F1ABA"/>
    <w:rsid w:val="009033A9"/>
    <w:rsid w:val="009073EC"/>
    <w:rsid w:val="009478FB"/>
    <w:rsid w:val="00951B77"/>
    <w:rsid w:val="00966F74"/>
    <w:rsid w:val="009854C3"/>
    <w:rsid w:val="009B7479"/>
    <w:rsid w:val="009C106D"/>
    <w:rsid w:val="009C583E"/>
    <w:rsid w:val="009C7954"/>
    <w:rsid w:val="009F0488"/>
    <w:rsid w:val="00A039B0"/>
    <w:rsid w:val="00A06BEA"/>
    <w:rsid w:val="00A25232"/>
    <w:rsid w:val="00A266E7"/>
    <w:rsid w:val="00A36A75"/>
    <w:rsid w:val="00A6362B"/>
    <w:rsid w:val="00A6753D"/>
    <w:rsid w:val="00A70522"/>
    <w:rsid w:val="00A723F9"/>
    <w:rsid w:val="00A86993"/>
    <w:rsid w:val="00A9460A"/>
    <w:rsid w:val="00AA7C93"/>
    <w:rsid w:val="00AB10EE"/>
    <w:rsid w:val="00AB677E"/>
    <w:rsid w:val="00AC0883"/>
    <w:rsid w:val="00AC0FC3"/>
    <w:rsid w:val="00AC16B9"/>
    <w:rsid w:val="00AC4A91"/>
    <w:rsid w:val="00AF372C"/>
    <w:rsid w:val="00B019EA"/>
    <w:rsid w:val="00B24FB4"/>
    <w:rsid w:val="00B4403E"/>
    <w:rsid w:val="00B76FFA"/>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94EC6"/>
    <w:rsid w:val="00EA648D"/>
    <w:rsid w:val="00ED6153"/>
    <w:rsid w:val="00EE0E87"/>
    <w:rsid w:val="00EF0A00"/>
    <w:rsid w:val="00F008F6"/>
    <w:rsid w:val="00F25242"/>
    <w:rsid w:val="00F317DA"/>
    <w:rsid w:val="00F5332B"/>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 w:type="paragraph" w:styleId="NormalWeb">
    <w:name w:val="Normal (Web)"/>
    <w:basedOn w:val="Normal"/>
    <w:uiPriority w:val="99"/>
    <w:semiHidden/>
    <w:unhideWhenUsed/>
    <w:rsid w:val="001B0DB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57201528">
      <w:bodyDiv w:val="1"/>
      <w:marLeft w:val="0"/>
      <w:marRight w:val="0"/>
      <w:marTop w:val="0"/>
      <w:marBottom w:val="0"/>
      <w:divBdr>
        <w:top w:val="none" w:sz="0" w:space="0" w:color="auto"/>
        <w:left w:val="none" w:sz="0" w:space="0" w:color="auto"/>
        <w:bottom w:val="none" w:sz="0" w:space="0" w:color="auto"/>
        <w:right w:val="none" w:sz="0" w:space="0" w:color="auto"/>
      </w:divBdr>
      <w:divsChild>
        <w:div w:id="1246643949">
          <w:marLeft w:val="0"/>
          <w:marRight w:val="0"/>
          <w:marTop w:val="0"/>
          <w:marBottom w:val="0"/>
          <w:divBdr>
            <w:top w:val="none" w:sz="0" w:space="0" w:color="auto"/>
            <w:left w:val="none" w:sz="0" w:space="0" w:color="auto"/>
            <w:bottom w:val="none" w:sz="0" w:space="0" w:color="auto"/>
            <w:right w:val="none" w:sz="0" w:space="0" w:color="auto"/>
          </w:divBdr>
          <w:divsChild>
            <w:div w:id="129976899">
              <w:marLeft w:val="0"/>
              <w:marRight w:val="0"/>
              <w:marTop w:val="0"/>
              <w:marBottom w:val="0"/>
              <w:divBdr>
                <w:top w:val="none" w:sz="0" w:space="0" w:color="auto"/>
                <w:left w:val="none" w:sz="0" w:space="0" w:color="auto"/>
                <w:bottom w:val="none" w:sz="0" w:space="0" w:color="auto"/>
                <w:right w:val="none" w:sz="0" w:space="0" w:color="auto"/>
              </w:divBdr>
              <w:divsChild>
                <w:div w:id="15373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630</Words>
  <Characters>3647</Characters>
  <Application>Microsoft Office Word</Application>
  <DocSecurity>0</DocSecurity>
  <Lines>455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7</cp:revision>
  <dcterms:created xsi:type="dcterms:W3CDTF">2023-07-07T23:39:00Z</dcterms:created>
  <dcterms:modified xsi:type="dcterms:W3CDTF">2023-07-08T00:13:00Z</dcterms:modified>
</cp:coreProperties>
</file>