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5DDA243B"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w:t>
                            </w:r>
                            <w:r w:rsidR="00957F9E">
                              <w:rPr>
                                <w:rFonts w:asciiTheme="minorHAnsi" w:hAnsiTheme="minorHAnsi" w:cstheme="minorHAnsi"/>
                                <w:b/>
                                <w:bCs/>
                                <w:color w:val="FFFFFF" w:themeColor="background1"/>
                                <w:sz w:val="72"/>
                                <w:szCs w:val="72"/>
                              </w:rPr>
                              <w:t>the OIG</w:t>
                            </w:r>
                            <w:r w:rsidR="0060693C">
                              <w:rPr>
                                <w:rFonts w:asciiTheme="minorHAnsi" w:hAnsiTheme="minorHAnsi" w:cstheme="minorHAnsi"/>
                                <w:b/>
                                <w:bCs/>
                                <w:color w:val="FFFFFF" w:themeColor="background1"/>
                                <w:sz w:val="72"/>
                                <w:szCs w:val="72"/>
                              </w:rPr>
                              <w:t xml:space="preserve"> Work Plan </w:t>
                            </w:r>
                            <w:r w:rsidR="00391AFE">
                              <w:rPr>
                                <w:rFonts w:asciiTheme="minorHAnsi" w:hAnsiTheme="minorHAnsi" w:cstheme="minorHAnsi"/>
                                <w:b/>
                                <w:bCs/>
                                <w:color w:val="FFFFFF" w:themeColor="background1"/>
                                <w:sz w:val="72"/>
                                <w:szCs w:val="72"/>
                              </w:rPr>
                              <w:t xml:space="preserve">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5DDA243B"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w:t>
                      </w:r>
                      <w:r w:rsidR="00957F9E">
                        <w:rPr>
                          <w:rFonts w:asciiTheme="minorHAnsi" w:hAnsiTheme="minorHAnsi" w:cstheme="minorHAnsi"/>
                          <w:b/>
                          <w:bCs/>
                          <w:color w:val="FFFFFF" w:themeColor="background1"/>
                          <w:sz w:val="72"/>
                          <w:szCs w:val="72"/>
                        </w:rPr>
                        <w:t>the OIG</w:t>
                      </w:r>
                      <w:r w:rsidR="0060693C">
                        <w:rPr>
                          <w:rFonts w:asciiTheme="minorHAnsi" w:hAnsiTheme="minorHAnsi" w:cstheme="minorHAnsi"/>
                          <w:b/>
                          <w:bCs/>
                          <w:color w:val="FFFFFF" w:themeColor="background1"/>
                          <w:sz w:val="72"/>
                          <w:szCs w:val="72"/>
                        </w:rPr>
                        <w:t xml:space="preserve"> Work Plan </w:t>
                      </w:r>
                      <w:r w:rsidR="00391AFE">
                        <w:rPr>
                          <w:rFonts w:asciiTheme="minorHAnsi" w:hAnsiTheme="minorHAnsi" w:cstheme="minorHAnsi"/>
                          <w:b/>
                          <w:bCs/>
                          <w:color w:val="FFFFFF" w:themeColor="background1"/>
                          <w:sz w:val="72"/>
                          <w:szCs w:val="72"/>
                        </w:rPr>
                        <w:t xml:space="preserve">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434F56E" w14:textId="77777777" w:rsidR="0060693C" w:rsidRPr="0060693C" w:rsidRDefault="0060693C" w:rsidP="0060693C">
      <w:pPr>
        <w:jc w:val="center"/>
        <w:rPr>
          <w:rFonts w:asciiTheme="minorHAnsi" w:hAnsiTheme="minorHAnsi" w:cstheme="minorHAnsi"/>
          <w:b/>
          <w:bCs/>
          <w:sz w:val="32"/>
          <w:szCs w:val="32"/>
        </w:rPr>
      </w:pPr>
      <w:r w:rsidRPr="0060693C">
        <w:rPr>
          <w:rFonts w:asciiTheme="minorHAnsi" w:hAnsiTheme="minorHAnsi" w:cstheme="minorHAnsi"/>
          <w:b/>
          <w:bCs/>
          <w:sz w:val="32"/>
          <w:szCs w:val="32"/>
        </w:rPr>
        <w:lastRenderedPageBreak/>
        <w:t>Office of Inspector General (OIG) Work Plan</w:t>
      </w:r>
    </w:p>
    <w:p w14:paraId="3EB85933" w14:textId="77777777" w:rsidR="0060693C" w:rsidRPr="0060693C" w:rsidRDefault="0060693C" w:rsidP="0060693C">
      <w:pPr>
        <w:rPr>
          <w:rFonts w:asciiTheme="minorHAnsi" w:hAnsiTheme="minorHAnsi" w:cstheme="minorHAnsi"/>
          <w:b/>
          <w:bCs/>
          <w:szCs w:val="24"/>
        </w:rPr>
      </w:pPr>
    </w:p>
    <w:p w14:paraId="4142C402" w14:textId="77777777" w:rsidR="0060693C" w:rsidRPr="0060693C" w:rsidRDefault="0060693C" w:rsidP="0060693C">
      <w:pPr>
        <w:rPr>
          <w:rFonts w:asciiTheme="minorHAnsi" w:hAnsiTheme="minorHAnsi" w:cstheme="minorHAnsi"/>
          <w:b/>
          <w:bCs/>
          <w:szCs w:val="24"/>
        </w:rPr>
      </w:pPr>
    </w:p>
    <w:p w14:paraId="39664955" w14:textId="77777777" w:rsidR="0060693C" w:rsidRPr="0060693C" w:rsidRDefault="0060693C" w:rsidP="0060693C">
      <w:pPr>
        <w:rPr>
          <w:rFonts w:asciiTheme="minorHAnsi" w:hAnsiTheme="minorHAnsi" w:cstheme="minorHAnsi"/>
          <w:b/>
          <w:bCs/>
          <w:szCs w:val="24"/>
        </w:rPr>
      </w:pPr>
      <w:r w:rsidRPr="0060693C">
        <w:rPr>
          <w:rFonts w:asciiTheme="minorHAnsi" w:hAnsiTheme="minorHAnsi" w:cstheme="minorHAnsi"/>
          <w:b/>
          <w:bCs/>
          <w:szCs w:val="24"/>
        </w:rPr>
        <w:t>Introduction</w:t>
      </w:r>
    </w:p>
    <w:p w14:paraId="24181C18" w14:textId="77777777" w:rsidR="0060693C" w:rsidRPr="0060693C" w:rsidRDefault="0060693C" w:rsidP="0060693C">
      <w:pPr>
        <w:rPr>
          <w:rFonts w:asciiTheme="minorHAnsi" w:hAnsiTheme="minorHAnsi" w:cstheme="minorHAnsi"/>
          <w:b/>
          <w:bCs/>
          <w:szCs w:val="24"/>
        </w:rPr>
      </w:pPr>
    </w:p>
    <w:p w14:paraId="4BFA92DE" w14:textId="77777777" w:rsidR="0060693C" w:rsidRPr="0060693C" w:rsidRDefault="0060693C" w:rsidP="0060693C">
      <w:pPr>
        <w:rPr>
          <w:rFonts w:asciiTheme="minorHAnsi" w:hAnsiTheme="minorHAnsi" w:cstheme="minorHAnsi"/>
          <w:szCs w:val="24"/>
          <w:vertAlign w:val="superscript"/>
        </w:rPr>
      </w:pPr>
      <w:r w:rsidRPr="0060693C">
        <w:rPr>
          <w:rFonts w:asciiTheme="minorHAnsi" w:hAnsiTheme="minorHAnsi" w:cstheme="minorHAnsi"/>
          <w:szCs w:val="24"/>
        </w:rPr>
        <w:t>The U.S. Department of Health and Human Services (HHS) Office of Inspector General (OIG) focuses efforts on fighting waste, fraud, and abuse, as well as to improve efficiency of Medicare, Medicaid, and other HHS programs.  “</w:t>
      </w:r>
      <w:r w:rsidRPr="0060693C">
        <w:rPr>
          <w:rFonts w:asciiTheme="minorHAnsi" w:hAnsiTheme="minorHAnsi" w:cstheme="minorHAnsi"/>
          <w:color w:val="1B1B1B"/>
          <w:szCs w:val="24"/>
          <w:shd w:val="clear" w:color="auto" w:fill="FFFFFF"/>
        </w:rPr>
        <w:t>The majority of the agency’s resources go towards the oversight of Medicare and Medicaid — programs that represent a significant part of the Federal budget and that affect this country's most vulnerable citizens.”</w:t>
      </w:r>
      <w:r w:rsidRPr="0060693C">
        <w:rPr>
          <w:rFonts w:asciiTheme="minorHAnsi" w:hAnsiTheme="minorHAnsi" w:cstheme="minorHAnsi"/>
          <w:color w:val="1B1B1B"/>
          <w:szCs w:val="24"/>
          <w:shd w:val="clear" w:color="auto" w:fill="FFFFFF"/>
          <w:vertAlign w:val="superscript"/>
        </w:rPr>
        <w:t>1</w:t>
      </w:r>
    </w:p>
    <w:p w14:paraId="66E139CB" w14:textId="77777777" w:rsidR="0060693C" w:rsidRPr="0060693C" w:rsidRDefault="0060693C" w:rsidP="0060693C">
      <w:pPr>
        <w:rPr>
          <w:rFonts w:asciiTheme="minorHAnsi" w:hAnsiTheme="minorHAnsi" w:cstheme="minorHAnsi"/>
          <w:szCs w:val="24"/>
        </w:rPr>
      </w:pPr>
    </w:p>
    <w:p w14:paraId="69731735"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rPr>
        <w:t>The OIG also issues reports that include information obtained by their audits and evaluations that include:</w:t>
      </w:r>
    </w:p>
    <w:p w14:paraId="7F4E2CC2" w14:textId="3DF497D6" w:rsidR="0060693C" w:rsidRPr="0060693C" w:rsidRDefault="0060693C" w:rsidP="0060693C">
      <w:pPr>
        <w:pStyle w:val="ListParagraph"/>
        <w:numPr>
          <w:ilvl w:val="0"/>
          <w:numId w:val="48"/>
        </w:numPr>
        <w:rPr>
          <w:rFonts w:asciiTheme="minorHAnsi" w:hAnsiTheme="minorHAnsi" w:cstheme="minorHAnsi"/>
          <w:szCs w:val="24"/>
        </w:rPr>
      </w:pPr>
      <w:r w:rsidRPr="0060693C">
        <w:rPr>
          <w:rFonts w:asciiTheme="minorHAnsi" w:hAnsiTheme="minorHAnsi" w:cstheme="minorHAnsi"/>
          <w:szCs w:val="24"/>
        </w:rPr>
        <w:t xml:space="preserve">Information on how well the programs are </w:t>
      </w:r>
      <w:r w:rsidR="00957F9E" w:rsidRPr="0060693C">
        <w:rPr>
          <w:rFonts w:asciiTheme="minorHAnsi" w:hAnsiTheme="minorHAnsi" w:cstheme="minorHAnsi"/>
          <w:szCs w:val="24"/>
        </w:rPr>
        <w:t>working.</w:t>
      </w:r>
    </w:p>
    <w:p w14:paraId="75180CE1" w14:textId="77777777" w:rsidR="0060693C" w:rsidRPr="0060693C" w:rsidRDefault="0060693C" w:rsidP="0060693C">
      <w:pPr>
        <w:pStyle w:val="ListParagraph"/>
        <w:numPr>
          <w:ilvl w:val="0"/>
          <w:numId w:val="48"/>
        </w:numPr>
        <w:rPr>
          <w:rFonts w:asciiTheme="minorHAnsi" w:hAnsiTheme="minorHAnsi" w:cstheme="minorHAnsi"/>
          <w:szCs w:val="24"/>
        </w:rPr>
      </w:pPr>
      <w:r w:rsidRPr="0060693C">
        <w:rPr>
          <w:rFonts w:asciiTheme="minorHAnsi" w:hAnsiTheme="minorHAnsi" w:cstheme="minorHAnsi"/>
          <w:szCs w:val="24"/>
        </w:rPr>
        <w:t>Risk identification to beneficiaries and taxpayers</w:t>
      </w:r>
    </w:p>
    <w:p w14:paraId="36B2FE10" w14:textId="77777777" w:rsidR="0060693C" w:rsidRPr="0060693C" w:rsidRDefault="0060693C" w:rsidP="0060693C">
      <w:pPr>
        <w:pStyle w:val="ListParagraph"/>
        <w:numPr>
          <w:ilvl w:val="0"/>
          <w:numId w:val="48"/>
        </w:numPr>
        <w:rPr>
          <w:rFonts w:asciiTheme="minorHAnsi" w:hAnsiTheme="minorHAnsi" w:cstheme="minorHAnsi"/>
          <w:szCs w:val="24"/>
        </w:rPr>
      </w:pPr>
      <w:r w:rsidRPr="0060693C">
        <w:rPr>
          <w:rFonts w:asciiTheme="minorHAnsi" w:hAnsiTheme="minorHAnsi" w:cstheme="minorHAnsi"/>
          <w:szCs w:val="24"/>
        </w:rPr>
        <w:t>Recommendations for improvements</w:t>
      </w:r>
    </w:p>
    <w:p w14:paraId="0BC97C10" w14:textId="77777777" w:rsidR="0060693C" w:rsidRPr="0060693C" w:rsidRDefault="0060693C" w:rsidP="0060693C">
      <w:pPr>
        <w:rPr>
          <w:rFonts w:asciiTheme="minorHAnsi" w:hAnsiTheme="minorHAnsi" w:cstheme="minorHAnsi"/>
          <w:szCs w:val="24"/>
        </w:rPr>
      </w:pPr>
    </w:p>
    <w:p w14:paraId="4BA939E5"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rPr>
        <w:t>The U.S. Department of Health and Human Services (HHS) Office of Inspector General (OIG) indicates that they provide oversight that is independent and objective.  “</w:t>
      </w:r>
      <w:r w:rsidRPr="0060693C">
        <w:rPr>
          <w:rFonts w:asciiTheme="minorHAnsi" w:hAnsiTheme="minorHAnsi" w:cstheme="minorHAnsi"/>
          <w:color w:val="212121"/>
          <w:szCs w:val="24"/>
          <w:shd w:val="clear" w:color="auto" w:fill="FFFFFF"/>
        </w:rPr>
        <w:t>OIG carries out its mission to protect the integrity of HHS programs and the health and welfare of the people served by those programs through a nationwide network of audits, investigations, and evaluations, as well as outreach, compliance, and educational activities.”</w:t>
      </w:r>
      <w:r w:rsidRPr="0060693C">
        <w:rPr>
          <w:rFonts w:asciiTheme="minorHAnsi" w:hAnsiTheme="minorHAnsi" w:cstheme="minorHAnsi"/>
          <w:color w:val="212121"/>
          <w:szCs w:val="24"/>
          <w:shd w:val="clear" w:color="auto" w:fill="FFFFFF"/>
          <w:vertAlign w:val="superscript"/>
        </w:rPr>
        <w:t>2</w:t>
      </w:r>
    </w:p>
    <w:p w14:paraId="361ED5FE" w14:textId="77777777" w:rsidR="0060693C" w:rsidRPr="0060693C" w:rsidRDefault="0060693C" w:rsidP="0060693C">
      <w:pPr>
        <w:rPr>
          <w:rFonts w:asciiTheme="minorHAnsi" w:hAnsiTheme="minorHAnsi" w:cstheme="minorHAnsi"/>
          <w:szCs w:val="24"/>
        </w:rPr>
      </w:pPr>
    </w:p>
    <w:p w14:paraId="580435E8"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rPr>
        <w:t xml:space="preserve">The OIG plans their work projects by assessing risks in HHS programs and operations </w:t>
      </w:r>
      <w:proofErr w:type="gramStart"/>
      <w:r w:rsidRPr="0060693C">
        <w:rPr>
          <w:rFonts w:asciiTheme="minorHAnsi" w:hAnsiTheme="minorHAnsi" w:cstheme="minorHAnsi"/>
          <w:szCs w:val="24"/>
        </w:rPr>
        <w:t>in order to</w:t>
      </w:r>
      <w:proofErr w:type="gramEnd"/>
      <w:r w:rsidRPr="0060693C">
        <w:rPr>
          <w:rFonts w:asciiTheme="minorHAnsi" w:hAnsiTheme="minorHAnsi" w:cstheme="minorHAnsi"/>
          <w:szCs w:val="24"/>
        </w:rPr>
        <w:t xml:space="preserve"> identify which areas need most attention.  The OIG also works on projects that many times will lead to audits, reviews, and reports such as:</w:t>
      </w:r>
    </w:p>
    <w:p w14:paraId="3494EDCF" w14:textId="77777777" w:rsidR="0060693C" w:rsidRPr="0060693C" w:rsidRDefault="0060693C" w:rsidP="0060693C">
      <w:pPr>
        <w:pStyle w:val="ListParagraph"/>
        <w:numPr>
          <w:ilvl w:val="0"/>
          <w:numId w:val="47"/>
        </w:numPr>
        <w:rPr>
          <w:rFonts w:asciiTheme="minorHAnsi" w:hAnsiTheme="minorHAnsi" w:cstheme="minorHAnsi"/>
          <w:szCs w:val="24"/>
        </w:rPr>
      </w:pPr>
      <w:r w:rsidRPr="0060693C">
        <w:rPr>
          <w:rFonts w:asciiTheme="minorHAnsi" w:hAnsiTheme="minorHAnsi" w:cstheme="minorHAnsi"/>
          <w:szCs w:val="24"/>
        </w:rPr>
        <w:t>Investigation of Fraud, Waste, and Abuse</w:t>
      </w:r>
    </w:p>
    <w:p w14:paraId="5073E096" w14:textId="77777777" w:rsidR="0060693C" w:rsidRPr="0060693C" w:rsidRDefault="0060693C" w:rsidP="0060693C">
      <w:pPr>
        <w:pStyle w:val="ListParagraph"/>
        <w:numPr>
          <w:ilvl w:val="0"/>
          <w:numId w:val="47"/>
        </w:numPr>
        <w:rPr>
          <w:rFonts w:asciiTheme="minorHAnsi" w:hAnsiTheme="minorHAnsi" w:cstheme="minorHAnsi"/>
          <w:szCs w:val="24"/>
        </w:rPr>
      </w:pPr>
      <w:r w:rsidRPr="0060693C">
        <w:rPr>
          <w:rFonts w:asciiTheme="minorHAnsi" w:hAnsiTheme="minorHAnsi" w:cstheme="minorHAnsi"/>
          <w:szCs w:val="24"/>
        </w:rPr>
        <w:t>Compliance in the Health Care Industry</w:t>
      </w:r>
    </w:p>
    <w:p w14:paraId="087BB1CA" w14:textId="77777777" w:rsidR="0060693C" w:rsidRPr="0060693C" w:rsidRDefault="0060693C" w:rsidP="0060693C">
      <w:pPr>
        <w:pStyle w:val="ListParagraph"/>
        <w:numPr>
          <w:ilvl w:val="0"/>
          <w:numId w:val="47"/>
        </w:numPr>
        <w:rPr>
          <w:rFonts w:asciiTheme="minorHAnsi" w:hAnsiTheme="minorHAnsi" w:cstheme="minorHAnsi"/>
          <w:szCs w:val="24"/>
        </w:rPr>
      </w:pPr>
      <w:r w:rsidRPr="0060693C">
        <w:rPr>
          <w:rFonts w:asciiTheme="minorHAnsi" w:hAnsiTheme="minorHAnsi" w:cstheme="minorHAnsi"/>
          <w:szCs w:val="24"/>
        </w:rPr>
        <w:t>“Excluding Bad Actors from Participation in Federal Health Care Programs.”</w:t>
      </w:r>
      <w:r w:rsidRPr="0060693C">
        <w:rPr>
          <w:rFonts w:asciiTheme="minorHAnsi" w:hAnsiTheme="minorHAnsi" w:cstheme="minorHAnsi"/>
          <w:szCs w:val="24"/>
          <w:vertAlign w:val="superscript"/>
        </w:rPr>
        <w:t>2</w:t>
      </w:r>
    </w:p>
    <w:p w14:paraId="0C6036F4" w14:textId="77777777" w:rsidR="0060693C" w:rsidRPr="0060693C" w:rsidRDefault="0060693C" w:rsidP="0060693C">
      <w:pPr>
        <w:rPr>
          <w:rFonts w:asciiTheme="minorHAnsi" w:hAnsiTheme="minorHAnsi" w:cstheme="minorHAnsi"/>
          <w:b/>
          <w:bCs/>
          <w:szCs w:val="24"/>
        </w:rPr>
      </w:pPr>
    </w:p>
    <w:p w14:paraId="6228D454" w14:textId="77777777" w:rsidR="0060693C" w:rsidRPr="0060693C" w:rsidRDefault="0060693C" w:rsidP="0060693C">
      <w:pPr>
        <w:rPr>
          <w:rFonts w:asciiTheme="minorHAnsi" w:hAnsiTheme="minorHAnsi" w:cstheme="minorHAnsi"/>
          <w:szCs w:val="24"/>
        </w:rPr>
      </w:pPr>
    </w:p>
    <w:p w14:paraId="5366825E" w14:textId="77777777" w:rsidR="0060693C" w:rsidRPr="0060693C" w:rsidRDefault="0060693C" w:rsidP="0060693C">
      <w:pPr>
        <w:rPr>
          <w:rFonts w:asciiTheme="minorHAnsi" w:hAnsiTheme="minorHAnsi" w:cstheme="minorHAnsi"/>
          <w:b/>
          <w:bCs/>
          <w:szCs w:val="24"/>
        </w:rPr>
      </w:pPr>
      <w:r w:rsidRPr="0060693C">
        <w:rPr>
          <w:rFonts w:asciiTheme="minorHAnsi" w:hAnsiTheme="minorHAnsi" w:cstheme="minorHAnsi"/>
          <w:b/>
          <w:bCs/>
          <w:szCs w:val="24"/>
        </w:rPr>
        <w:t xml:space="preserve">Oversight </w:t>
      </w:r>
    </w:p>
    <w:p w14:paraId="1EA4208D" w14:textId="77777777" w:rsidR="0060693C" w:rsidRPr="0060693C" w:rsidRDefault="0060693C" w:rsidP="0060693C">
      <w:pPr>
        <w:rPr>
          <w:rFonts w:asciiTheme="minorHAnsi" w:hAnsiTheme="minorHAnsi" w:cstheme="minorHAnsi"/>
          <w:szCs w:val="24"/>
        </w:rPr>
      </w:pPr>
    </w:p>
    <w:p w14:paraId="198170E1" w14:textId="77777777" w:rsidR="0060693C" w:rsidRPr="0060693C" w:rsidRDefault="0060693C" w:rsidP="0060693C">
      <w:pPr>
        <w:pStyle w:val="ListParagraph"/>
        <w:numPr>
          <w:ilvl w:val="0"/>
          <w:numId w:val="49"/>
        </w:numPr>
        <w:rPr>
          <w:rFonts w:asciiTheme="minorHAnsi" w:hAnsiTheme="minorHAnsi" w:cstheme="minorHAnsi"/>
          <w:szCs w:val="24"/>
        </w:rPr>
      </w:pPr>
      <w:r w:rsidRPr="0060693C">
        <w:rPr>
          <w:rFonts w:asciiTheme="minorHAnsi" w:hAnsiTheme="minorHAnsi" w:cstheme="minorHAnsi"/>
          <w:szCs w:val="24"/>
        </w:rPr>
        <w:t xml:space="preserve">The Department of Health and Human Services works with the Department of Justice (DOJ) and the Office of Inspector General (OIG) to identify and combat Medicare and Medicaid fraud. These agencies work with law enforcement to coordinate false claims act lawsuits. </w:t>
      </w:r>
    </w:p>
    <w:p w14:paraId="15D42F4C" w14:textId="77777777" w:rsidR="0060693C" w:rsidRPr="0060693C" w:rsidRDefault="0060693C" w:rsidP="0060693C">
      <w:pPr>
        <w:pStyle w:val="ListParagraph"/>
        <w:numPr>
          <w:ilvl w:val="0"/>
          <w:numId w:val="49"/>
        </w:numPr>
        <w:rPr>
          <w:rFonts w:asciiTheme="minorHAnsi" w:hAnsiTheme="minorHAnsi" w:cstheme="minorHAnsi"/>
          <w:szCs w:val="24"/>
        </w:rPr>
      </w:pPr>
      <w:r w:rsidRPr="0060693C">
        <w:rPr>
          <w:rFonts w:asciiTheme="minorHAnsi" w:hAnsiTheme="minorHAnsi" w:cstheme="minorHAnsi"/>
          <w:szCs w:val="24"/>
        </w:rPr>
        <w:t xml:space="preserve">The DOJ and OIG use the Medicare Strike Force in high-fraud areas to identify and investigate fraud allegations. There is also an interagency task force, the Health Care </w:t>
      </w:r>
      <w:r w:rsidRPr="0060693C">
        <w:rPr>
          <w:rFonts w:asciiTheme="minorHAnsi" w:hAnsiTheme="minorHAnsi" w:cstheme="minorHAnsi"/>
          <w:szCs w:val="24"/>
        </w:rPr>
        <w:lastRenderedPageBreak/>
        <w:t xml:space="preserve">Fraud Prevention Enforcement Action Team (HEAT) that also investigates potential healthcare fraud using data analysis to detect unusual billing patterns. </w:t>
      </w:r>
    </w:p>
    <w:p w14:paraId="08273BFF" w14:textId="77777777" w:rsidR="0060693C" w:rsidRPr="0060693C" w:rsidRDefault="0060693C" w:rsidP="0060693C">
      <w:pPr>
        <w:pStyle w:val="ListParagraph"/>
        <w:numPr>
          <w:ilvl w:val="0"/>
          <w:numId w:val="49"/>
        </w:numPr>
        <w:rPr>
          <w:rFonts w:asciiTheme="minorHAnsi" w:hAnsiTheme="minorHAnsi" w:cstheme="minorHAnsi"/>
          <w:szCs w:val="24"/>
        </w:rPr>
      </w:pPr>
      <w:r w:rsidRPr="0060693C">
        <w:rPr>
          <w:rFonts w:asciiTheme="minorHAnsi" w:hAnsiTheme="minorHAnsi" w:cstheme="minorHAnsi"/>
          <w:szCs w:val="24"/>
        </w:rPr>
        <w:t xml:space="preserve">The CMS Center for Program Integrity leads the identification of fraud, waste, and abuse for CMS services. </w:t>
      </w:r>
    </w:p>
    <w:p w14:paraId="643560C1" w14:textId="5752B8E5" w:rsidR="0060693C" w:rsidRPr="0060693C" w:rsidRDefault="0060693C" w:rsidP="0060693C">
      <w:pPr>
        <w:pStyle w:val="ListParagraph"/>
        <w:numPr>
          <w:ilvl w:val="0"/>
          <w:numId w:val="49"/>
        </w:numPr>
        <w:rPr>
          <w:rFonts w:asciiTheme="minorHAnsi" w:hAnsiTheme="minorHAnsi" w:cstheme="minorHAnsi"/>
          <w:szCs w:val="24"/>
        </w:rPr>
      </w:pPr>
      <w:r w:rsidRPr="0060693C">
        <w:rPr>
          <w:rFonts w:asciiTheme="minorHAnsi" w:hAnsiTheme="minorHAnsi" w:cstheme="minorHAnsi"/>
          <w:szCs w:val="24"/>
        </w:rPr>
        <w:t xml:space="preserve">It is the billing provider’s responsibility to submit accurate and thorough </w:t>
      </w:r>
      <w:r w:rsidR="00957F9E" w:rsidRPr="0060693C">
        <w:rPr>
          <w:rFonts w:asciiTheme="minorHAnsi" w:hAnsiTheme="minorHAnsi" w:cstheme="minorHAnsi"/>
          <w:szCs w:val="24"/>
        </w:rPr>
        <w:t>claims.</w:t>
      </w:r>
    </w:p>
    <w:p w14:paraId="6ECDB203" w14:textId="77777777" w:rsidR="0060693C" w:rsidRDefault="0060693C" w:rsidP="0060693C">
      <w:pPr>
        <w:rPr>
          <w:rFonts w:asciiTheme="minorHAnsi" w:hAnsiTheme="minorHAnsi" w:cstheme="minorHAnsi"/>
          <w:szCs w:val="24"/>
        </w:rPr>
      </w:pPr>
    </w:p>
    <w:p w14:paraId="1256FDE1" w14:textId="7ECAA5EE" w:rsidR="00F347B6" w:rsidRPr="00F347B6" w:rsidRDefault="00F347B6" w:rsidP="0060693C">
      <w:pPr>
        <w:rPr>
          <w:rFonts w:asciiTheme="minorHAnsi" w:hAnsiTheme="minorHAnsi" w:cstheme="minorHAnsi"/>
          <w:b/>
          <w:bCs/>
          <w:szCs w:val="24"/>
        </w:rPr>
      </w:pPr>
      <w:r w:rsidRPr="00F347B6">
        <w:rPr>
          <w:rFonts w:asciiTheme="minorHAnsi" w:hAnsiTheme="minorHAnsi" w:cstheme="minorHAnsi"/>
          <w:b/>
          <w:bCs/>
          <w:szCs w:val="24"/>
        </w:rPr>
        <w:t>OIG Work Plans and the MDS</w:t>
      </w:r>
    </w:p>
    <w:p w14:paraId="76EBB24C" w14:textId="77777777" w:rsidR="00F347B6" w:rsidRDefault="00F347B6" w:rsidP="0060693C">
      <w:pPr>
        <w:rPr>
          <w:rFonts w:asciiTheme="minorHAnsi" w:hAnsiTheme="minorHAnsi" w:cstheme="minorHAnsi"/>
          <w:szCs w:val="24"/>
        </w:rPr>
      </w:pPr>
    </w:p>
    <w:p w14:paraId="3EF9D6E1" w14:textId="77777777" w:rsidR="00957F9E" w:rsidRDefault="00F347B6" w:rsidP="0060693C">
      <w:pPr>
        <w:rPr>
          <w:rFonts w:asciiTheme="minorHAnsi" w:hAnsiTheme="minorHAnsi" w:cstheme="minorHAnsi"/>
          <w:color w:val="000000" w:themeColor="text1"/>
          <w:shd w:val="clear" w:color="auto" w:fill="FFFFFF"/>
        </w:rPr>
      </w:pPr>
      <w:r w:rsidRPr="00F347B6">
        <w:rPr>
          <w:rFonts w:asciiTheme="minorHAnsi" w:hAnsiTheme="minorHAnsi" w:cstheme="minorHAnsi"/>
          <w:color w:val="000000" w:themeColor="text1"/>
          <w:shd w:val="clear" w:color="auto" w:fill="FFFFFF"/>
        </w:rPr>
        <w:t xml:space="preserve">OIG </w:t>
      </w:r>
      <w:r w:rsidRPr="00F347B6">
        <w:rPr>
          <w:rFonts w:asciiTheme="minorHAnsi" w:hAnsiTheme="minorHAnsi" w:cstheme="minorHAnsi"/>
          <w:color w:val="000000" w:themeColor="text1"/>
          <w:shd w:val="clear" w:color="auto" w:fill="FFFFFF"/>
        </w:rPr>
        <w:t>Work Plans and/or R</w:t>
      </w:r>
      <w:r w:rsidRPr="00F347B6">
        <w:rPr>
          <w:rFonts w:asciiTheme="minorHAnsi" w:hAnsiTheme="minorHAnsi" w:cstheme="minorHAnsi"/>
          <w:color w:val="000000" w:themeColor="text1"/>
          <w:shd w:val="clear" w:color="auto" w:fill="FFFFFF"/>
        </w:rPr>
        <w:t xml:space="preserve">eports contain findings of its audits and evaluations, </w:t>
      </w:r>
      <w:r w:rsidRPr="00F347B6">
        <w:rPr>
          <w:rFonts w:asciiTheme="minorHAnsi" w:hAnsiTheme="minorHAnsi" w:cstheme="minorHAnsi"/>
          <w:color w:val="000000" w:themeColor="text1"/>
          <w:shd w:val="clear" w:color="auto" w:fill="FFFFFF"/>
        </w:rPr>
        <w:t xml:space="preserve">assessing data from a health care entity, such as nursing homes, </w:t>
      </w:r>
      <w:r w:rsidRPr="00F347B6">
        <w:rPr>
          <w:rFonts w:asciiTheme="minorHAnsi" w:hAnsiTheme="minorHAnsi" w:cstheme="minorHAnsi"/>
          <w:color w:val="000000" w:themeColor="text1"/>
          <w:shd w:val="clear" w:color="auto" w:fill="FFFFFF"/>
        </w:rPr>
        <w:t xml:space="preserve">assess how well </w:t>
      </w:r>
      <w:r w:rsidRPr="00F347B6">
        <w:rPr>
          <w:rFonts w:asciiTheme="minorHAnsi" w:hAnsiTheme="minorHAnsi" w:cstheme="minorHAnsi"/>
          <w:color w:val="000000" w:themeColor="text1"/>
          <w:shd w:val="clear" w:color="auto" w:fill="FFFFFF"/>
        </w:rPr>
        <w:t xml:space="preserve">nursing homes and CMS </w:t>
      </w:r>
      <w:r w:rsidRPr="00F347B6">
        <w:rPr>
          <w:rFonts w:asciiTheme="minorHAnsi" w:hAnsiTheme="minorHAnsi" w:cstheme="minorHAnsi"/>
          <w:color w:val="000000" w:themeColor="text1"/>
          <w:shd w:val="clear" w:color="auto" w:fill="FFFFFF"/>
        </w:rPr>
        <w:t>are working, identify risks to the people they serve and to taxpayers, and recommend necessary improvements.</w:t>
      </w:r>
      <w:r w:rsidR="00957F9E" w:rsidRPr="00957F9E">
        <w:rPr>
          <w:rFonts w:asciiTheme="minorHAnsi" w:hAnsiTheme="minorHAnsi" w:cstheme="minorHAnsi"/>
          <w:color w:val="000000" w:themeColor="text1"/>
          <w:shd w:val="clear" w:color="auto" w:fill="FFFFFF"/>
          <w:vertAlign w:val="superscript"/>
        </w:rPr>
        <w:t>2</w:t>
      </w:r>
      <w:r w:rsidRPr="00F347B6">
        <w:rPr>
          <w:rFonts w:asciiTheme="minorHAnsi" w:hAnsiTheme="minorHAnsi" w:cstheme="minorHAnsi"/>
          <w:color w:val="000000" w:themeColor="text1"/>
          <w:shd w:val="clear" w:color="auto" w:fill="FFFFFF"/>
        </w:rPr>
        <w:t xml:space="preserve">  </w:t>
      </w:r>
      <w:r w:rsidR="00957F9E">
        <w:rPr>
          <w:rFonts w:asciiTheme="minorHAnsi" w:hAnsiTheme="minorHAnsi" w:cstheme="minorHAnsi"/>
          <w:color w:val="000000" w:themeColor="text1"/>
          <w:shd w:val="clear" w:color="auto" w:fill="FFFFFF"/>
        </w:rPr>
        <w:t xml:space="preserve">OIG actions are triggered by trends, uncovering significant issues during a review or if there is high risk to residents or the nursing home programs in general.  </w:t>
      </w:r>
    </w:p>
    <w:p w14:paraId="7367562F" w14:textId="77777777" w:rsidR="00957F9E" w:rsidRDefault="00957F9E" w:rsidP="0060693C">
      <w:pPr>
        <w:rPr>
          <w:rFonts w:asciiTheme="minorHAnsi" w:hAnsiTheme="minorHAnsi" w:cstheme="minorHAnsi"/>
          <w:color w:val="000000" w:themeColor="text1"/>
          <w:shd w:val="clear" w:color="auto" w:fill="FFFFFF"/>
        </w:rPr>
      </w:pPr>
    </w:p>
    <w:p w14:paraId="64DFC824" w14:textId="591D5848" w:rsidR="00957F9E" w:rsidRDefault="00F347B6" w:rsidP="0060693C">
      <w:pPr>
        <w:rPr>
          <w:rFonts w:asciiTheme="minorHAnsi" w:hAnsiTheme="minorHAnsi" w:cstheme="minorHAnsi"/>
          <w:color w:val="000000" w:themeColor="text1"/>
          <w:shd w:val="clear" w:color="auto" w:fill="FFFFFF"/>
        </w:rPr>
      </w:pPr>
      <w:r w:rsidRPr="00F347B6">
        <w:rPr>
          <w:rFonts w:asciiTheme="minorHAnsi" w:hAnsiTheme="minorHAnsi" w:cstheme="minorHAnsi"/>
          <w:color w:val="000000" w:themeColor="text1"/>
          <w:shd w:val="clear" w:color="auto" w:fill="FFFFFF"/>
        </w:rPr>
        <w:t xml:space="preserve">Data that is collected and utilized for the OIG Work Plans and Reports comes from a variety of sources, including the MDS.  </w:t>
      </w:r>
      <w:r w:rsidR="00957F9E">
        <w:rPr>
          <w:rFonts w:asciiTheme="minorHAnsi" w:hAnsiTheme="minorHAnsi" w:cstheme="minorHAnsi"/>
          <w:color w:val="000000" w:themeColor="text1"/>
          <w:shd w:val="clear" w:color="auto" w:fill="FFFFFF"/>
        </w:rPr>
        <w:t xml:space="preserve">It is important to note that MDS data trends are monitored not only by State Survey Agencies, but also by OIG.  While OIG monitors larger trends and MDS data outcomes, the data can be localized to the region, </w:t>
      </w:r>
      <w:proofErr w:type="gramStart"/>
      <w:r w:rsidR="00957F9E">
        <w:rPr>
          <w:rFonts w:asciiTheme="minorHAnsi" w:hAnsiTheme="minorHAnsi" w:cstheme="minorHAnsi"/>
          <w:color w:val="000000" w:themeColor="text1"/>
          <w:shd w:val="clear" w:color="auto" w:fill="FFFFFF"/>
        </w:rPr>
        <w:t>state</w:t>
      </w:r>
      <w:proofErr w:type="gramEnd"/>
      <w:r w:rsidR="00957F9E">
        <w:rPr>
          <w:rFonts w:asciiTheme="minorHAnsi" w:hAnsiTheme="minorHAnsi" w:cstheme="minorHAnsi"/>
          <w:color w:val="000000" w:themeColor="text1"/>
          <w:shd w:val="clear" w:color="auto" w:fill="FFFFFF"/>
        </w:rPr>
        <w:t xml:space="preserve"> and facility level. </w:t>
      </w:r>
    </w:p>
    <w:p w14:paraId="3E34205D" w14:textId="77777777" w:rsidR="00957F9E" w:rsidRDefault="00957F9E" w:rsidP="0060693C">
      <w:pPr>
        <w:rPr>
          <w:rFonts w:asciiTheme="minorHAnsi" w:hAnsiTheme="minorHAnsi" w:cstheme="minorHAnsi"/>
          <w:color w:val="000000" w:themeColor="text1"/>
          <w:shd w:val="clear" w:color="auto" w:fill="FFFFFF"/>
        </w:rPr>
      </w:pPr>
    </w:p>
    <w:p w14:paraId="6BAD89B6" w14:textId="0602E1E6" w:rsidR="00F347B6" w:rsidRPr="0060693C" w:rsidRDefault="00957F9E" w:rsidP="0060693C">
      <w:pPr>
        <w:rPr>
          <w:rFonts w:asciiTheme="minorHAnsi" w:hAnsiTheme="minorHAnsi" w:cstheme="minorHAnsi"/>
          <w:szCs w:val="24"/>
        </w:rPr>
      </w:pPr>
      <w:r>
        <w:rPr>
          <w:rFonts w:asciiTheme="minorHAnsi" w:hAnsiTheme="minorHAnsi" w:cstheme="minorHAnsi"/>
          <w:color w:val="000000" w:themeColor="text1"/>
          <w:shd w:val="clear" w:color="auto" w:fill="FFFFFF"/>
        </w:rPr>
        <w:t xml:space="preserve">As leaders, monitoring MDS data trends, quality measures, regulatory trends and financial outcomes is key to success.  It is recommended to implement additional monitoring processes related to the MDS 2023 changes and coding outcomes.  </w:t>
      </w:r>
    </w:p>
    <w:p w14:paraId="64331E7D" w14:textId="77777777" w:rsidR="0060693C" w:rsidRPr="0060693C" w:rsidRDefault="0060693C" w:rsidP="0060693C">
      <w:pPr>
        <w:rPr>
          <w:rFonts w:asciiTheme="minorHAnsi" w:hAnsiTheme="minorHAnsi" w:cstheme="minorHAnsi"/>
          <w:szCs w:val="24"/>
        </w:rPr>
      </w:pPr>
    </w:p>
    <w:p w14:paraId="182595ED"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rPr>
        <w:t>It is essential for leadership to understand the work of the OIG, potential significant outcomes, and opportunities for education on compliance, quality, and safety.</w:t>
      </w:r>
    </w:p>
    <w:p w14:paraId="74F569E1" w14:textId="77777777" w:rsidR="0060693C" w:rsidRPr="0060693C" w:rsidRDefault="0060693C" w:rsidP="0060693C">
      <w:pPr>
        <w:rPr>
          <w:rFonts w:asciiTheme="minorHAnsi" w:hAnsiTheme="minorHAnsi" w:cstheme="minorHAnsi"/>
          <w:b/>
          <w:bCs/>
          <w:szCs w:val="24"/>
        </w:rPr>
      </w:pPr>
    </w:p>
    <w:p w14:paraId="252D4A3A" w14:textId="77777777" w:rsidR="00957F9E" w:rsidRDefault="00957F9E" w:rsidP="0060693C">
      <w:pPr>
        <w:rPr>
          <w:rFonts w:asciiTheme="minorHAnsi" w:hAnsiTheme="minorHAnsi" w:cstheme="minorHAnsi"/>
          <w:b/>
          <w:bCs/>
          <w:szCs w:val="24"/>
        </w:rPr>
      </w:pPr>
    </w:p>
    <w:p w14:paraId="608D83D6" w14:textId="5583324B" w:rsidR="0060693C" w:rsidRPr="0060693C" w:rsidRDefault="0060693C" w:rsidP="0060693C">
      <w:pPr>
        <w:rPr>
          <w:rFonts w:asciiTheme="minorHAnsi" w:hAnsiTheme="minorHAnsi" w:cstheme="minorHAnsi"/>
          <w:b/>
          <w:bCs/>
          <w:szCs w:val="24"/>
        </w:rPr>
      </w:pPr>
      <w:r w:rsidRPr="0060693C">
        <w:rPr>
          <w:rFonts w:asciiTheme="minorHAnsi" w:hAnsiTheme="minorHAnsi" w:cstheme="minorHAnsi"/>
          <w:b/>
          <w:bCs/>
          <w:szCs w:val="24"/>
        </w:rPr>
        <w:t>References and Resources</w:t>
      </w:r>
    </w:p>
    <w:p w14:paraId="300798B0" w14:textId="77777777" w:rsidR="0060693C" w:rsidRPr="0060693C" w:rsidRDefault="0060693C" w:rsidP="0060693C">
      <w:pPr>
        <w:rPr>
          <w:rFonts w:asciiTheme="minorHAnsi" w:hAnsiTheme="minorHAnsi" w:cstheme="minorHAnsi"/>
          <w:b/>
          <w:bCs/>
          <w:szCs w:val="24"/>
        </w:rPr>
      </w:pPr>
    </w:p>
    <w:p w14:paraId="2E7959A7"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vertAlign w:val="superscript"/>
        </w:rPr>
        <w:t>1</w:t>
      </w:r>
      <w:r w:rsidRPr="0060693C">
        <w:rPr>
          <w:rFonts w:asciiTheme="minorHAnsi" w:hAnsiTheme="minorHAnsi" w:cstheme="minorHAnsi"/>
          <w:szCs w:val="24"/>
        </w:rPr>
        <w:t xml:space="preserve">United States Department of Health and Human Services, Office of Inspector General.  About OIG:  </w:t>
      </w:r>
      <w:hyperlink r:id="rId8" w:history="1">
        <w:r w:rsidRPr="0060693C">
          <w:rPr>
            <w:rStyle w:val="Hyperlink"/>
            <w:rFonts w:asciiTheme="minorHAnsi" w:hAnsiTheme="minorHAnsi" w:cstheme="minorHAnsi"/>
            <w:szCs w:val="24"/>
          </w:rPr>
          <w:t>https://oig.hhs.gov/about-oig/</w:t>
        </w:r>
      </w:hyperlink>
      <w:r w:rsidRPr="0060693C">
        <w:rPr>
          <w:rFonts w:asciiTheme="minorHAnsi" w:hAnsiTheme="minorHAnsi" w:cstheme="minorHAnsi"/>
          <w:szCs w:val="24"/>
        </w:rPr>
        <w:t xml:space="preserve"> </w:t>
      </w:r>
    </w:p>
    <w:p w14:paraId="00711A9D" w14:textId="77777777" w:rsidR="0060693C" w:rsidRPr="0060693C" w:rsidRDefault="0060693C" w:rsidP="0060693C">
      <w:pPr>
        <w:rPr>
          <w:rFonts w:asciiTheme="minorHAnsi" w:hAnsiTheme="minorHAnsi" w:cstheme="minorHAnsi"/>
          <w:szCs w:val="24"/>
          <w:vertAlign w:val="superscript"/>
        </w:rPr>
      </w:pPr>
    </w:p>
    <w:p w14:paraId="0E169C54"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vertAlign w:val="superscript"/>
        </w:rPr>
        <w:t>2</w:t>
      </w:r>
      <w:r w:rsidRPr="0060693C">
        <w:rPr>
          <w:rFonts w:asciiTheme="minorHAnsi" w:hAnsiTheme="minorHAnsi" w:cstheme="minorHAnsi"/>
          <w:szCs w:val="24"/>
        </w:rPr>
        <w:t xml:space="preserve">United States Department of Health and Human Services, Office of Inspector General.  Work Plan:  </w:t>
      </w:r>
      <w:hyperlink r:id="rId9" w:history="1">
        <w:r w:rsidRPr="0060693C">
          <w:rPr>
            <w:rStyle w:val="Hyperlink"/>
            <w:rFonts w:asciiTheme="minorHAnsi" w:hAnsiTheme="minorHAnsi" w:cstheme="minorHAnsi"/>
            <w:szCs w:val="24"/>
          </w:rPr>
          <w:t>https://oig.hhs.gov/reports-and-publications/workplan/index.asp</w:t>
        </w:r>
      </w:hyperlink>
      <w:r w:rsidRPr="0060693C">
        <w:rPr>
          <w:rFonts w:asciiTheme="minorHAnsi" w:hAnsiTheme="minorHAnsi" w:cstheme="minorHAnsi"/>
          <w:szCs w:val="24"/>
        </w:rPr>
        <w:t xml:space="preserve"> </w:t>
      </w:r>
    </w:p>
    <w:p w14:paraId="14780B33" w14:textId="77777777" w:rsidR="0060693C" w:rsidRPr="0060693C" w:rsidRDefault="0060693C" w:rsidP="0060693C">
      <w:pPr>
        <w:rPr>
          <w:rFonts w:asciiTheme="minorHAnsi" w:hAnsiTheme="minorHAnsi" w:cstheme="minorHAnsi"/>
          <w:szCs w:val="24"/>
        </w:rPr>
      </w:pPr>
    </w:p>
    <w:p w14:paraId="5C5269D9" w14:textId="77777777" w:rsidR="0060693C" w:rsidRPr="0060693C" w:rsidRDefault="0060693C" w:rsidP="0060693C">
      <w:pPr>
        <w:rPr>
          <w:rFonts w:asciiTheme="minorHAnsi" w:hAnsiTheme="minorHAnsi" w:cstheme="minorHAnsi"/>
          <w:szCs w:val="24"/>
        </w:rPr>
      </w:pPr>
      <w:r w:rsidRPr="0060693C">
        <w:rPr>
          <w:rFonts w:asciiTheme="minorHAnsi" w:hAnsiTheme="minorHAnsi" w:cstheme="minorHAnsi"/>
          <w:szCs w:val="24"/>
        </w:rPr>
        <w:t xml:space="preserve">Centers for Medicare &amp; Medicaid Services.  State Operations Manual, Appendix PP, Guidance to Surveyors for Long Term Care Facilities:  </w:t>
      </w:r>
      <w:hyperlink r:id="rId10" w:history="1">
        <w:r w:rsidRPr="0060693C">
          <w:rPr>
            <w:rStyle w:val="Hyperlink"/>
            <w:rFonts w:asciiTheme="minorHAnsi" w:hAnsiTheme="minorHAnsi" w:cstheme="minorHAnsi"/>
            <w:szCs w:val="24"/>
          </w:rPr>
          <w:t>https://www.cms.gov/medicare/provider-enrollment-and-certification/guidanceforlawsandregulations/downloads/appendix-pp-state-operations-manual.pdf</w:t>
        </w:r>
      </w:hyperlink>
      <w:r w:rsidRPr="0060693C">
        <w:rPr>
          <w:rFonts w:asciiTheme="minorHAnsi" w:hAnsiTheme="minorHAnsi" w:cstheme="minorHAnsi"/>
          <w:szCs w:val="24"/>
        </w:rPr>
        <w:t xml:space="preserve"> </w:t>
      </w:r>
    </w:p>
    <w:p w14:paraId="60B38282" w14:textId="77777777" w:rsidR="0060693C" w:rsidRPr="0060693C" w:rsidRDefault="0060693C" w:rsidP="0060693C">
      <w:pPr>
        <w:rPr>
          <w:rFonts w:asciiTheme="minorHAnsi" w:hAnsiTheme="minorHAnsi" w:cstheme="minorHAnsi"/>
          <w:szCs w:val="24"/>
        </w:rPr>
      </w:pPr>
    </w:p>
    <w:p w14:paraId="326B32A8" w14:textId="77777777" w:rsidR="00957F9E" w:rsidRDefault="00957F9E" w:rsidP="0060693C">
      <w:pPr>
        <w:rPr>
          <w:rFonts w:asciiTheme="minorHAnsi" w:hAnsiTheme="minorHAnsi" w:cstheme="minorHAnsi"/>
          <w:sz w:val="22"/>
          <w:szCs w:val="22"/>
        </w:rPr>
      </w:pPr>
    </w:p>
    <w:p w14:paraId="7A625BCE" w14:textId="77777777" w:rsidR="00957F9E" w:rsidRDefault="00957F9E" w:rsidP="0060693C">
      <w:pPr>
        <w:rPr>
          <w:rFonts w:asciiTheme="minorHAnsi" w:hAnsiTheme="minorHAnsi" w:cstheme="minorHAnsi"/>
          <w:sz w:val="22"/>
          <w:szCs w:val="22"/>
        </w:rPr>
      </w:pPr>
    </w:p>
    <w:p w14:paraId="15DCEED4" w14:textId="77777777" w:rsidR="00957F9E" w:rsidRDefault="00957F9E" w:rsidP="0060693C">
      <w:pPr>
        <w:rPr>
          <w:rFonts w:asciiTheme="minorHAnsi" w:hAnsiTheme="minorHAnsi" w:cstheme="minorHAnsi"/>
          <w:sz w:val="22"/>
          <w:szCs w:val="22"/>
        </w:rPr>
      </w:pPr>
    </w:p>
    <w:p w14:paraId="1B163307" w14:textId="2A68E9C5" w:rsidR="0060693C" w:rsidRDefault="0060693C" w:rsidP="0060693C">
      <w:pPr>
        <w:rPr>
          <w:sz w:val="22"/>
          <w:szCs w:val="22"/>
        </w:rPr>
      </w:pPr>
      <w:r w:rsidRPr="00786D68">
        <w:rPr>
          <w:rFonts w:asciiTheme="minorHAnsi" w:hAnsiTheme="minorHAnsi" w:cstheme="minorHAnsi"/>
          <w:sz w:val="22"/>
          <w:szCs w:val="22"/>
        </w:rPr>
        <w:t xml:space="preserve">Centers for Medicare &amp; Medicaid Services.  Long-Term Care Facility Resident Assessment Instrument 3.0 </w:t>
      </w:r>
    </w:p>
    <w:p w14:paraId="61A2A11F" w14:textId="19EEA131" w:rsidR="0060693C" w:rsidRPr="0060693C" w:rsidRDefault="0060693C" w:rsidP="0060693C">
      <w:pPr>
        <w:rPr>
          <w:rFonts w:asciiTheme="minorHAnsi" w:hAnsiTheme="minorHAnsi" w:cstheme="minorHAnsi"/>
          <w:szCs w:val="24"/>
        </w:rPr>
      </w:pPr>
      <w:r w:rsidRPr="00786D68">
        <w:rPr>
          <w:rFonts w:asciiTheme="minorHAnsi" w:hAnsiTheme="minorHAnsi" w:cstheme="minorHAnsi"/>
          <w:sz w:val="22"/>
          <w:szCs w:val="22"/>
        </w:rPr>
        <w:t xml:space="preserve">User’s Manual.  Version 1.18.11, October 2023:  </w:t>
      </w:r>
      <w:hyperlink r:id="rId11" w:history="1">
        <w:r w:rsidRPr="00786D68">
          <w:rPr>
            <w:rStyle w:val="Hyperlink"/>
            <w:rFonts w:asciiTheme="minorHAnsi" w:hAnsiTheme="minorHAnsi" w:cstheme="minorHAnsi"/>
            <w:sz w:val="22"/>
            <w:szCs w:val="22"/>
          </w:rPr>
          <w:t>https://www.cms.gov/Medicare/Quality-Initiatives-Patient-Assessment-Instruments/NursingHomeQualityInits/MDS30RAIManual</w:t>
        </w:r>
      </w:hyperlink>
      <w:r w:rsidRPr="0060693C">
        <w:rPr>
          <w:rFonts w:asciiTheme="minorHAnsi" w:hAnsiTheme="minorHAnsi" w:cstheme="minorHAnsi"/>
          <w:szCs w:val="24"/>
        </w:rPr>
        <w:t xml:space="preserve"> </w:t>
      </w:r>
    </w:p>
    <w:p w14:paraId="370C11AE" w14:textId="77777777" w:rsidR="0060693C" w:rsidRDefault="0060693C" w:rsidP="0060693C"/>
    <w:p w14:paraId="43E7A3AA" w14:textId="77777777" w:rsidR="00F77A48" w:rsidRDefault="00F77A48" w:rsidP="00F77A48">
      <w:pPr>
        <w:rPr>
          <w:b/>
          <w:bCs/>
        </w:rPr>
      </w:pPr>
    </w:p>
    <w:p w14:paraId="287E7E63" w14:textId="77777777" w:rsidR="00F77A48" w:rsidRDefault="00F77A48" w:rsidP="00F77A48">
      <w:pPr>
        <w:rPr>
          <w:b/>
          <w:bCs/>
        </w:rPr>
      </w:pPr>
    </w:p>
    <w:sectPr w:rsidR="00F77A48" w:rsidSect="00DE7AF9">
      <w:headerReference w:type="default" r:id="rId12"/>
      <w:footerReference w:type="default" r:id="rId13"/>
      <w:head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EFBB" w14:textId="77777777" w:rsidR="00272821" w:rsidRDefault="00272821" w:rsidP="00FE158D">
      <w:r>
        <w:separator/>
      </w:r>
    </w:p>
  </w:endnote>
  <w:endnote w:type="continuationSeparator" w:id="0">
    <w:p w14:paraId="0606C832" w14:textId="77777777" w:rsidR="00272821" w:rsidRDefault="0027282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E9C0" w14:textId="77777777" w:rsidR="00272821" w:rsidRDefault="00272821" w:rsidP="00FE158D">
      <w:r>
        <w:separator/>
      </w:r>
    </w:p>
  </w:footnote>
  <w:footnote w:type="continuationSeparator" w:id="0">
    <w:p w14:paraId="619D763F" w14:textId="77777777" w:rsidR="00272821" w:rsidRDefault="0027282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B50D42"/>
    <w:multiLevelType w:val="hybridMultilevel"/>
    <w:tmpl w:val="B990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0606"/>
    <w:multiLevelType w:val="hybridMultilevel"/>
    <w:tmpl w:val="DFB2335C"/>
    <w:lvl w:ilvl="0" w:tplc="503CA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A5D00"/>
    <w:multiLevelType w:val="hybridMultilevel"/>
    <w:tmpl w:val="308A6706"/>
    <w:lvl w:ilvl="0" w:tplc="C464A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14719"/>
    <w:multiLevelType w:val="hybridMultilevel"/>
    <w:tmpl w:val="8396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C0107"/>
    <w:multiLevelType w:val="hybridMultilevel"/>
    <w:tmpl w:val="14C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54B92"/>
    <w:multiLevelType w:val="hybridMultilevel"/>
    <w:tmpl w:val="1CC2A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C50C6"/>
    <w:multiLevelType w:val="hybridMultilevel"/>
    <w:tmpl w:val="041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74F39"/>
    <w:multiLevelType w:val="hybridMultilevel"/>
    <w:tmpl w:val="EC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D0047"/>
    <w:multiLevelType w:val="hybridMultilevel"/>
    <w:tmpl w:val="9D0ECE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1F7C1C"/>
    <w:multiLevelType w:val="hybridMultilevel"/>
    <w:tmpl w:val="0B5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D25539"/>
    <w:multiLevelType w:val="multilevel"/>
    <w:tmpl w:val="4B5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253DC"/>
    <w:multiLevelType w:val="hybridMultilevel"/>
    <w:tmpl w:val="B3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B250B"/>
    <w:multiLevelType w:val="hybridMultilevel"/>
    <w:tmpl w:val="B43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9D0A33"/>
    <w:multiLevelType w:val="hybridMultilevel"/>
    <w:tmpl w:val="13421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04068"/>
    <w:multiLevelType w:val="hybridMultilevel"/>
    <w:tmpl w:val="28B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22"/>
  </w:num>
  <w:num w:numId="2" w16cid:durableId="103622501">
    <w:abstractNumId w:val="48"/>
  </w:num>
  <w:num w:numId="3" w16cid:durableId="2107460121">
    <w:abstractNumId w:val="35"/>
  </w:num>
  <w:num w:numId="4" w16cid:durableId="315956492">
    <w:abstractNumId w:val="44"/>
  </w:num>
  <w:num w:numId="5" w16cid:durableId="2136409435">
    <w:abstractNumId w:val="15"/>
  </w:num>
  <w:num w:numId="6" w16cid:durableId="1357846870">
    <w:abstractNumId w:val="40"/>
  </w:num>
  <w:num w:numId="7" w16cid:durableId="3982131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5"/>
  </w:num>
  <w:num w:numId="9" w16cid:durableId="497767428">
    <w:abstractNumId w:val="27"/>
  </w:num>
  <w:num w:numId="10" w16cid:durableId="61487259">
    <w:abstractNumId w:val="28"/>
  </w:num>
  <w:num w:numId="11" w16cid:durableId="726876866">
    <w:abstractNumId w:val="21"/>
  </w:num>
  <w:num w:numId="12" w16cid:durableId="1899897450">
    <w:abstractNumId w:val="42"/>
  </w:num>
  <w:num w:numId="13" w16cid:durableId="99108190">
    <w:abstractNumId w:val="11"/>
  </w:num>
  <w:num w:numId="14" w16cid:durableId="972635690">
    <w:abstractNumId w:val="10"/>
  </w:num>
  <w:num w:numId="15" w16cid:durableId="299266596">
    <w:abstractNumId w:val="6"/>
  </w:num>
  <w:num w:numId="16" w16cid:durableId="1957131368">
    <w:abstractNumId w:val="19"/>
  </w:num>
  <w:num w:numId="17" w16cid:durableId="2055233907">
    <w:abstractNumId w:val="49"/>
  </w:num>
  <w:num w:numId="18" w16cid:durableId="1101989952">
    <w:abstractNumId w:val="3"/>
  </w:num>
  <w:num w:numId="19" w16cid:durableId="850486595">
    <w:abstractNumId w:val="2"/>
  </w:num>
  <w:num w:numId="20" w16cid:durableId="1957902571">
    <w:abstractNumId w:val="41"/>
  </w:num>
  <w:num w:numId="21" w16cid:durableId="1507986864">
    <w:abstractNumId w:val="17"/>
  </w:num>
  <w:num w:numId="22" w16cid:durableId="1880048584">
    <w:abstractNumId w:val="34"/>
  </w:num>
  <w:num w:numId="23" w16cid:durableId="184945490">
    <w:abstractNumId w:val="39"/>
  </w:num>
  <w:num w:numId="24" w16cid:durableId="141893206">
    <w:abstractNumId w:val="31"/>
  </w:num>
  <w:num w:numId="25" w16cid:durableId="202984854">
    <w:abstractNumId w:val="26"/>
  </w:num>
  <w:num w:numId="26" w16cid:durableId="1846358971">
    <w:abstractNumId w:val="46"/>
  </w:num>
  <w:num w:numId="27" w16cid:durableId="951547196">
    <w:abstractNumId w:val="33"/>
  </w:num>
  <w:num w:numId="28" w16cid:durableId="1365715858">
    <w:abstractNumId w:val="1"/>
  </w:num>
  <w:num w:numId="29" w16cid:durableId="1203322149">
    <w:abstractNumId w:val="20"/>
  </w:num>
  <w:num w:numId="30" w16cid:durableId="2087025096">
    <w:abstractNumId w:val="23"/>
  </w:num>
  <w:num w:numId="31" w16cid:durableId="796291873">
    <w:abstractNumId w:val="32"/>
  </w:num>
  <w:num w:numId="32" w16cid:durableId="236944459">
    <w:abstractNumId w:val="7"/>
  </w:num>
  <w:num w:numId="33" w16cid:durableId="632633339">
    <w:abstractNumId w:val="8"/>
  </w:num>
  <w:num w:numId="34" w16cid:durableId="1265267971">
    <w:abstractNumId w:val="30"/>
  </w:num>
  <w:num w:numId="35" w16cid:durableId="438451035">
    <w:abstractNumId w:val="24"/>
  </w:num>
  <w:num w:numId="36" w16cid:durableId="1485002944">
    <w:abstractNumId w:val="14"/>
  </w:num>
  <w:num w:numId="37" w16cid:durableId="2103908725">
    <w:abstractNumId w:val="18"/>
  </w:num>
  <w:num w:numId="38" w16cid:durableId="1633754067">
    <w:abstractNumId w:val="13"/>
  </w:num>
  <w:num w:numId="39" w16cid:durableId="238516530">
    <w:abstractNumId w:val="45"/>
  </w:num>
  <w:num w:numId="40" w16cid:durableId="995569579">
    <w:abstractNumId w:val="16"/>
  </w:num>
  <w:num w:numId="41" w16cid:durableId="1773278089">
    <w:abstractNumId w:val="36"/>
  </w:num>
  <w:num w:numId="42" w16cid:durableId="973560293">
    <w:abstractNumId w:val="37"/>
  </w:num>
  <w:num w:numId="43" w16cid:durableId="1309628923">
    <w:abstractNumId w:val="38"/>
  </w:num>
  <w:num w:numId="44" w16cid:durableId="754668662">
    <w:abstractNumId w:val="9"/>
  </w:num>
  <w:num w:numId="45" w16cid:durableId="1124274765">
    <w:abstractNumId w:val="29"/>
  </w:num>
  <w:num w:numId="46" w16cid:durableId="1323774211">
    <w:abstractNumId w:val="4"/>
  </w:num>
  <w:num w:numId="47" w16cid:durableId="1965036206">
    <w:abstractNumId w:val="47"/>
  </w:num>
  <w:num w:numId="48" w16cid:durableId="1435245287">
    <w:abstractNumId w:val="25"/>
  </w:num>
  <w:num w:numId="49" w16cid:durableId="149737659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72821"/>
    <w:rsid w:val="00287A2F"/>
    <w:rsid w:val="002C5F29"/>
    <w:rsid w:val="002D4CC4"/>
    <w:rsid w:val="002D68EE"/>
    <w:rsid w:val="002E5D4A"/>
    <w:rsid w:val="002F2B8A"/>
    <w:rsid w:val="002F2C3C"/>
    <w:rsid w:val="003011C7"/>
    <w:rsid w:val="00301AA8"/>
    <w:rsid w:val="00301F56"/>
    <w:rsid w:val="00304CD9"/>
    <w:rsid w:val="0031633A"/>
    <w:rsid w:val="00317996"/>
    <w:rsid w:val="0033490A"/>
    <w:rsid w:val="00350DBC"/>
    <w:rsid w:val="003644AF"/>
    <w:rsid w:val="00366F49"/>
    <w:rsid w:val="00372DF7"/>
    <w:rsid w:val="003734C7"/>
    <w:rsid w:val="00373CF0"/>
    <w:rsid w:val="0037790A"/>
    <w:rsid w:val="00391AFE"/>
    <w:rsid w:val="003A3E8D"/>
    <w:rsid w:val="003B0939"/>
    <w:rsid w:val="003C3FCE"/>
    <w:rsid w:val="003F0C77"/>
    <w:rsid w:val="00402197"/>
    <w:rsid w:val="00416F96"/>
    <w:rsid w:val="004524D2"/>
    <w:rsid w:val="004613FA"/>
    <w:rsid w:val="00484844"/>
    <w:rsid w:val="004C1FD8"/>
    <w:rsid w:val="00513627"/>
    <w:rsid w:val="0051471B"/>
    <w:rsid w:val="00527903"/>
    <w:rsid w:val="00534CAA"/>
    <w:rsid w:val="0053732B"/>
    <w:rsid w:val="00540DA7"/>
    <w:rsid w:val="0054293C"/>
    <w:rsid w:val="005438CB"/>
    <w:rsid w:val="005675AE"/>
    <w:rsid w:val="005817E5"/>
    <w:rsid w:val="00593E4B"/>
    <w:rsid w:val="005A1020"/>
    <w:rsid w:val="005B3EBE"/>
    <w:rsid w:val="005E33E0"/>
    <w:rsid w:val="005E77E2"/>
    <w:rsid w:val="005F036A"/>
    <w:rsid w:val="006034EC"/>
    <w:rsid w:val="00603AC0"/>
    <w:rsid w:val="00605605"/>
    <w:rsid w:val="0060693C"/>
    <w:rsid w:val="00610027"/>
    <w:rsid w:val="00625208"/>
    <w:rsid w:val="006338B1"/>
    <w:rsid w:val="0066706B"/>
    <w:rsid w:val="00697D9F"/>
    <w:rsid w:val="006A18F9"/>
    <w:rsid w:val="006A3CC2"/>
    <w:rsid w:val="006B2ED2"/>
    <w:rsid w:val="006C7A0C"/>
    <w:rsid w:val="007251EF"/>
    <w:rsid w:val="00746482"/>
    <w:rsid w:val="00757731"/>
    <w:rsid w:val="0076063E"/>
    <w:rsid w:val="00783084"/>
    <w:rsid w:val="00786D68"/>
    <w:rsid w:val="007A61F1"/>
    <w:rsid w:val="007E1469"/>
    <w:rsid w:val="007F26C3"/>
    <w:rsid w:val="00805910"/>
    <w:rsid w:val="00816F37"/>
    <w:rsid w:val="00821F40"/>
    <w:rsid w:val="008259FB"/>
    <w:rsid w:val="00870097"/>
    <w:rsid w:val="00875A69"/>
    <w:rsid w:val="00882A44"/>
    <w:rsid w:val="00883AD3"/>
    <w:rsid w:val="008859EC"/>
    <w:rsid w:val="008A506A"/>
    <w:rsid w:val="008E7224"/>
    <w:rsid w:val="008F1ABA"/>
    <w:rsid w:val="009033A9"/>
    <w:rsid w:val="009073EC"/>
    <w:rsid w:val="0094474B"/>
    <w:rsid w:val="009462B6"/>
    <w:rsid w:val="009478FB"/>
    <w:rsid w:val="00951B77"/>
    <w:rsid w:val="00957F9E"/>
    <w:rsid w:val="00966F74"/>
    <w:rsid w:val="009854C3"/>
    <w:rsid w:val="009B61CB"/>
    <w:rsid w:val="009B7479"/>
    <w:rsid w:val="009C106D"/>
    <w:rsid w:val="009C583E"/>
    <w:rsid w:val="009C7954"/>
    <w:rsid w:val="009F0488"/>
    <w:rsid w:val="00A039B0"/>
    <w:rsid w:val="00A05903"/>
    <w:rsid w:val="00A06BEA"/>
    <w:rsid w:val="00A25232"/>
    <w:rsid w:val="00A36A75"/>
    <w:rsid w:val="00A6362B"/>
    <w:rsid w:val="00A6753D"/>
    <w:rsid w:val="00A70522"/>
    <w:rsid w:val="00A723F9"/>
    <w:rsid w:val="00A86993"/>
    <w:rsid w:val="00A9460A"/>
    <w:rsid w:val="00A97662"/>
    <w:rsid w:val="00AA7C93"/>
    <w:rsid w:val="00AB10EE"/>
    <w:rsid w:val="00AB677E"/>
    <w:rsid w:val="00AC0883"/>
    <w:rsid w:val="00AC0FC3"/>
    <w:rsid w:val="00AC16B9"/>
    <w:rsid w:val="00AC4A91"/>
    <w:rsid w:val="00AF372C"/>
    <w:rsid w:val="00B019EA"/>
    <w:rsid w:val="00B24FB4"/>
    <w:rsid w:val="00B4403E"/>
    <w:rsid w:val="00B76FFA"/>
    <w:rsid w:val="00BA3B0C"/>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70666"/>
    <w:rsid w:val="00E94EC6"/>
    <w:rsid w:val="00EA648D"/>
    <w:rsid w:val="00ED6153"/>
    <w:rsid w:val="00EE0E87"/>
    <w:rsid w:val="00EF0A00"/>
    <w:rsid w:val="00F008F6"/>
    <w:rsid w:val="00F144E2"/>
    <w:rsid w:val="00F347B6"/>
    <w:rsid w:val="00F5332B"/>
    <w:rsid w:val="00F77A48"/>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unhideWhenUsed/>
    <w:rsid w:val="0094474B"/>
    <w:pPr>
      <w:spacing w:before="100" w:beforeAutospacing="1" w:after="100" w:afterAutospacing="1"/>
    </w:pPr>
    <w:rPr>
      <w:szCs w:val="24"/>
    </w:rPr>
  </w:style>
  <w:style w:type="character" w:styleId="Emphasis">
    <w:name w:val="Emphasis"/>
    <w:basedOn w:val="DefaultParagraphFont"/>
    <w:uiPriority w:val="20"/>
    <w:qFormat/>
    <w:rsid w:val="00F7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6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about-oi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NursingHomeQualityInits/MDS30RAIManu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medicare/provider-enrollment-and-certification/guidanceforlawsandregulations/downloads/appendix-pp-state-operations-manual.pdf" TargetMode="External"/><Relationship Id="rId4" Type="http://schemas.openxmlformats.org/officeDocument/2006/relationships/settings" Target="settings.xml"/><Relationship Id="rId9" Type="http://schemas.openxmlformats.org/officeDocument/2006/relationships/hyperlink" Target="https://oig.hhs.gov/reports-and-publications/workplan/index.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726</Words>
  <Characters>4202</Characters>
  <Application>Microsoft Office Word</Application>
  <DocSecurity>0</DocSecurity>
  <Lines>525</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2023-07-08T02:06:00Z</dcterms:created>
  <dcterms:modified xsi:type="dcterms:W3CDTF">2023-07-08T02:20:00Z</dcterms:modified>
</cp:coreProperties>
</file>