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6189B00">
                <wp:simplePos x="0" y="0"/>
                <wp:positionH relativeFrom="margin">
                  <wp:align>right</wp:align>
                </wp:positionH>
                <wp:positionV relativeFrom="page">
                  <wp:posOffset>914400</wp:posOffset>
                </wp:positionV>
                <wp:extent cx="5943600" cy="34160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341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0450A" w14:textId="3EC44413" w:rsidR="00157E0B" w:rsidRPr="0072211A" w:rsidRDefault="00E74D17" w:rsidP="003C3FCE">
                            <w:pPr>
                              <w:rPr>
                                <w:rFonts w:ascii="Calibri" w:hAnsi="Calibri"/>
                                <w:b/>
                                <w:color w:val="FFFFFF" w:themeColor="background1"/>
                                <w:sz w:val="96"/>
                                <w:szCs w:val="96"/>
                              </w:rPr>
                            </w:pPr>
                            <w:r w:rsidRPr="0072211A">
                              <w:rPr>
                                <w:rFonts w:ascii="Calibri" w:hAnsi="Calibri"/>
                                <w:b/>
                                <w:color w:val="FFFFFF" w:themeColor="background1"/>
                                <w:sz w:val="96"/>
                                <w:szCs w:val="96"/>
                              </w:rPr>
                              <w:t>Facility Assessment Toolkit</w:t>
                            </w:r>
                          </w:p>
                          <w:p w14:paraId="5E797834" w14:textId="77777777" w:rsidR="0052598C" w:rsidRDefault="0052598C" w:rsidP="003C3FCE">
                            <w:pPr>
                              <w:rPr>
                                <w:rFonts w:ascii="Calibri" w:hAnsi="Calibri"/>
                                <w:b/>
                                <w:color w:val="FFFFFF" w:themeColor="background1"/>
                                <w:sz w:val="72"/>
                              </w:rPr>
                            </w:pPr>
                          </w:p>
                          <w:p w14:paraId="69FAA214" w14:textId="77777777" w:rsidR="00EE6D21" w:rsidRDefault="00EE6D21">
                            <w:pPr>
                              <w:rPr>
                                <w:rFonts w:ascii="Calibri" w:hAnsi="Calibri"/>
                                <w:b/>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269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" filled="f" stroked="f" strokeweight=".5pt">
                <v:textbox>
                  <w:txbxContent>
                    <w:p w14:paraId="7530450A" w14:textId="3EC44413" w:rsidR="00157E0B" w:rsidRPr="0072211A" w:rsidRDefault="00E74D17" w:rsidP="003C3FCE">
                      <w:pPr>
                        <w:rPr>
                          <w:rFonts w:ascii="Calibri" w:hAnsi="Calibri"/>
                          <w:b/>
                          <w:color w:val="FFFFFF" w:themeColor="background1"/>
                          <w:sz w:val="96"/>
                          <w:szCs w:val="96"/>
                        </w:rPr>
                      </w:pPr>
                      <w:r w:rsidRPr="0072211A">
                        <w:rPr>
                          <w:rFonts w:ascii="Calibri" w:hAnsi="Calibri"/>
                          <w:b/>
                          <w:color w:val="FFFFFF" w:themeColor="background1"/>
                          <w:sz w:val="96"/>
                          <w:szCs w:val="96"/>
                        </w:rPr>
                        <w:t>Facility Assessment Toolkit</w:t>
                      </w:r>
                    </w:p>
                    <w:p w14:paraId="5E797834" w14:textId="77777777" w:rsidR="0052598C" w:rsidRDefault="0052598C" w:rsidP="003C3FCE">
                      <w:pPr>
                        <w:rPr>
                          <w:rFonts w:ascii="Calibri" w:hAnsi="Calibri"/>
                          <w:b/>
                          <w:color w:val="FFFFFF" w:themeColor="background1"/>
                          <w:sz w:val="72"/>
                        </w:rPr>
                      </w:pPr>
                    </w:p>
                    <w:p w14:paraId="69FAA214" w14:textId="77777777" w:rsidR="00EE6D21" w:rsidRDefault="00EE6D21">
                      <w:pPr>
                        <w:rPr>
                          <w:rFonts w:ascii="Calibri" w:hAnsi="Calibri"/>
                          <w:b/>
                          <w:color w:val="FFFFFF" w:themeColor="background1"/>
                          <w:sz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Default="00E92E76" w:rsidP="00870097">
      <w:pPr>
        <w:jc w:val="center"/>
        <w:rPr>
          <w:rFonts w:ascii="Calibri" w:hAnsi="Calibri" w:cs="Calibri"/>
          <w:b/>
          <w:sz w:val="28"/>
          <w:szCs w:val="28"/>
        </w:rPr>
      </w:pPr>
    </w:p>
    <w:p w14:paraId="5A09178F" w14:textId="661C1CF2" w:rsidR="0072211A" w:rsidRPr="0072211A" w:rsidRDefault="0072211A" w:rsidP="00870097">
      <w:pPr>
        <w:jc w:val="center"/>
        <w:rPr>
          <w:rFonts w:ascii="Calibri" w:hAnsi="Calibri" w:cs="Calibri"/>
          <w:bCs/>
          <w:szCs w:val="24"/>
        </w:rPr>
      </w:pPr>
      <w:r w:rsidRPr="0072211A">
        <w:rPr>
          <w:rFonts w:ascii="Calibri" w:hAnsi="Calibri" w:cs="Calibri"/>
          <w:bCs/>
          <w:szCs w:val="24"/>
        </w:rPr>
        <w:t xml:space="preserve">The Facility Assessment Toolkit was developed in partnership with LeadingAge to assist providers in the formulation of their organization facility assessment.  </w:t>
      </w:r>
    </w:p>
    <w:p w14:paraId="18A8504B" w14:textId="77777777" w:rsidR="0072211A" w:rsidRPr="0072211A" w:rsidRDefault="0072211A" w:rsidP="00870097">
      <w:pPr>
        <w:jc w:val="center"/>
        <w:rPr>
          <w:rFonts w:ascii="Calibri" w:hAnsi="Calibri" w:cs="Calibri"/>
          <w:bCs/>
          <w:szCs w:val="24"/>
        </w:rPr>
      </w:pPr>
    </w:p>
    <w:p w14:paraId="534C415D" w14:textId="675C83D9" w:rsidR="0072211A" w:rsidRPr="0072211A" w:rsidRDefault="0072211A" w:rsidP="00870097">
      <w:pPr>
        <w:jc w:val="center"/>
        <w:rPr>
          <w:rFonts w:ascii="Calibri" w:hAnsi="Calibri" w:cs="Calibri"/>
          <w:bCs/>
          <w:szCs w:val="24"/>
        </w:rPr>
      </w:pPr>
      <w:r w:rsidRPr="0072211A">
        <w:rPr>
          <w:rFonts w:ascii="Calibri" w:hAnsi="Calibri" w:cs="Calibri"/>
          <w:bCs/>
          <w:szCs w:val="24"/>
        </w:rPr>
        <w:t xml:space="preserve">This Toolkit is available to LeadingAge members and is for purchase for nonmembers.  </w:t>
      </w:r>
    </w:p>
    <w:p w14:paraId="778AE443" w14:textId="77777777" w:rsidR="0072211A" w:rsidRDefault="0072211A" w:rsidP="0072211A">
      <w:pPr>
        <w:jc w:val="center"/>
        <w:rPr>
          <w:rFonts w:cstheme="minorHAnsi"/>
          <w:b/>
          <w:shd w:val="clear" w:color="auto" w:fill="FFFFFF"/>
        </w:rPr>
      </w:pPr>
    </w:p>
    <w:p w14:paraId="5F017BF7" w14:textId="77777777" w:rsidR="0072211A" w:rsidRDefault="0072211A" w:rsidP="0072211A">
      <w:pPr>
        <w:jc w:val="center"/>
        <w:rPr>
          <w:rFonts w:cstheme="minorHAnsi"/>
          <w:b/>
          <w:shd w:val="clear" w:color="auto" w:fill="FFFFFF"/>
        </w:rPr>
      </w:pPr>
    </w:p>
    <w:p w14:paraId="0340FE3E" w14:textId="2663D57A" w:rsidR="0072211A" w:rsidRPr="0072211A" w:rsidRDefault="0072211A" w:rsidP="0072211A">
      <w:pPr>
        <w:jc w:val="center"/>
        <w:rPr>
          <w:rFonts w:ascii="Calibri" w:hAnsi="Calibri" w:cs="Calibri"/>
          <w:b/>
          <w:shd w:val="clear" w:color="auto" w:fill="FFFFFF"/>
        </w:rPr>
      </w:pPr>
      <w:r w:rsidRPr="0072211A">
        <w:rPr>
          <w:rFonts w:ascii="Calibri" w:hAnsi="Calibri" w:cs="Calibri"/>
          <w:b/>
          <w:shd w:val="clear" w:color="auto" w:fill="FFFFFF"/>
        </w:rPr>
        <w:t>About Pathway Health</w:t>
      </w:r>
    </w:p>
    <w:p w14:paraId="3EBF0308" w14:textId="77777777" w:rsidR="0072211A" w:rsidRPr="0072211A" w:rsidRDefault="0072211A" w:rsidP="0072211A">
      <w:pPr>
        <w:rPr>
          <w:rFonts w:ascii="Calibri" w:hAnsi="Calibri" w:cs="Calibri"/>
          <w:b/>
          <w:shd w:val="clear" w:color="auto" w:fill="FFFFFF"/>
        </w:rPr>
      </w:pPr>
    </w:p>
    <w:p w14:paraId="40E422B2" w14:textId="0388B0D6" w:rsidR="0072211A" w:rsidRPr="0072211A" w:rsidRDefault="0072211A" w:rsidP="0072211A">
      <w:pPr>
        <w:rPr>
          <w:rFonts w:ascii="Calibri" w:hAnsi="Calibri" w:cs="Calibri"/>
          <w:b/>
          <w:shd w:val="clear" w:color="auto" w:fill="FFFFFF"/>
        </w:rPr>
      </w:pPr>
      <w:r w:rsidRPr="0072211A">
        <w:rPr>
          <w:rFonts w:ascii="Calibri" w:hAnsi="Calibri" w:cs="Calibri"/>
          <w:b/>
          <w:shd w:val="clear" w:color="auto" w:fill="FFFFFF"/>
        </w:rPr>
        <w:t>Insight</w:t>
      </w:r>
      <w:r w:rsidRPr="0072211A">
        <w:rPr>
          <w:rFonts w:ascii="Calibri" w:hAnsi="Calibri" w:cs="Calibri"/>
        </w:rPr>
        <w:br/>
      </w:r>
      <w:r w:rsidRPr="0072211A">
        <w:rPr>
          <w:rFonts w:ascii="Calibri" w:hAnsi="Calibri" w:cs="Calibri"/>
          <w:shd w:val="clear" w:color="auto" w:fill="FFFFFF"/>
        </w:rPr>
        <w:t>Understanding the post-acute care environment is critical for overall operational success.  Since our founding in 1997, Pathway Health has been keeping a pulse on industry clinical, regulatory, quality</w:t>
      </w:r>
      <w:r>
        <w:rPr>
          <w:rFonts w:ascii="Calibri" w:hAnsi="Calibri" w:cs="Calibri"/>
          <w:shd w:val="clear" w:color="auto" w:fill="FFFFFF"/>
        </w:rPr>
        <w:t>,</w:t>
      </w:r>
      <w:r w:rsidRPr="0072211A">
        <w:rPr>
          <w:rFonts w:ascii="Calibri" w:hAnsi="Calibri" w:cs="Calibri"/>
          <w:shd w:val="clear" w:color="auto" w:fill="FFFFFF"/>
        </w:rPr>
        <w:t xml:space="preserve"> and reimbursement trends to keep our clients on the path to success.</w:t>
      </w:r>
      <w:r w:rsidRPr="0072211A">
        <w:rPr>
          <w:rFonts w:ascii="Calibri" w:hAnsi="Calibri" w:cs="Calibri"/>
        </w:rPr>
        <w:br/>
      </w:r>
    </w:p>
    <w:p w14:paraId="0B13E9DF" w14:textId="6C4710C1" w:rsidR="0072211A" w:rsidRPr="0072211A" w:rsidRDefault="0072211A" w:rsidP="0072211A">
      <w:pPr>
        <w:rPr>
          <w:rFonts w:ascii="Calibri" w:hAnsi="Calibri" w:cs="Calibri"/>
          <w:b/>
          <w:shd w:val="clear" w:color="auto" w:fill="FFFFFF"/>
        </w:rPr>
      </w:pPr>
      <w:r w:rsidRPr="0072211A">
        <w:rPr>
          <w:rFonts w:ascii="Calibri" w:hAnsi="Calibri" w:cs="Calibri"/>
          <w:b/>
          <w:shd w:val="clear" w:color="auto" w:fill="FFFFFF"/>
        </w:rPr>
        <w:t>Expertise</w:t>
      </w:r>
      <w:r w:rsidRPr="0072211A">
        <w:rPr>
          <w:rFonts w:ascii="Calibri" w:hAnsi="Calibri" w:cs="Calibri"/>
        </w:rPr>
        <w:br/>
      </w:r>
      <w:r w:rsidRPr="0072211A">
        <w:rPr>
          <w:rFonts w:ascii="Calibri" w:hAnsi="Calibri" w:cs="Calibri"/>
          <w:shd w:val="clear" w:color="auto" w:fill="FFFFFF"/>
        </w:rPr>
        <w:t>With over 150 experienced professionals, we engage and employ leading clinical and operational experts to assist our clients achieve the next level of performance. It is our people, their talents</w:t>
      </w:r>
      <w:r>
        <w:rPr>
          <w:rFonts w:ascii="Calibri" w:hAnsi="Calibri" w:cs="Calibri"/>
          <w:shd w:val="clear" w:color="auto" w:fill="FFFFFF"/>
        </w:rPr>
        <w:t>,</w:t>
      </w:r>
      <w:r w:rsidRPr="0072211A">
        <w:rPr>
          <w:rFonts w:ascii="Calibri" w:hAnsi="Calibri" w:cs="Calibri"/>
          <w:shd w:val="clear" w:color="auto" w:fill="FFFFFF"/>
        </w:rPr>
        <w:t xml:space="preserve"> and their real-world post-acute experience that set Pathway Health apart from other professional services companies.</w:t>
      </w:r>
      <w:r w:rsidRPr="0072211A">
        <w:rPr>
          <w:rFonts w:ascii="Calibri" w:hAnsi="Calibri" w:cs="Calibri"/>
        </w:rPr>
        <w:br/>
      </w:r>
    </w:p>
    <w:p w14:paraId="15FFD65F" w14:textId="72D47D6D" w:rsidR="0072211A" w:rsidRPr="0072211A" w:rsidRDefault="0072211A" w:rsidP="0072211A">
      <w:pPr>
        <w:rPr>
          <w:rFonts w:ascii="Calibri" w:hAnsi="Calibri" w:cs="Calibri"/>
        </w:rPr>
      </w:pPr>
      <w:r w:rsidRPr="0072211A">
        <w:rPr>
          <w:rFonts w:ascii="Calibri" w:hAnsi="Calibri" w:cs="Calibri"/>
          <w:b/>
          <w:shd w:val="clear" w:color="auto" w:fill="FFFFFF"/>
        </w:rPr>
        <w:t>Knowledge</w:t>
      </w:r>
      <w:r w:rsidRPr="0072211A">
        <w:rPr>
          <w:rFonts w:ascii="Calibri" w:hAnsi="Calibri" w:cs="Calibri"/>
        </w:rPr>
        <w:br/>
      </w:r>
      <w:r w:rsidRPr="0072211A">
        <w:rPr>
          <w:rFonts w:ascii="Calibri" w:hAnsi="Calibri" w:cs="Calibri"/>
          <w:shd w:val="clear" w:color="auto" w:fill="FFFFFF"/>
        </w:rPr>
        <w:t xml:space="preserve">For nearly two decades, </w:t>
      </w:r>
      <w:r>
        <w:rPr>
          <w:rFonts w:ascii="Calibri" w:hAnsi="Calibri" w:cs="Calibri"/>
          <w:shd w:val="clear" w:color="auto" w:fill="FFFFFF"/>
        </w:rPr>
        <w:t>healthcare</w:t>
      </w:r>
      <w:r w:rsidRPr="0072211A">
        <w:rPr>
          <w:rFonts w:ascii="Calibri" w:hAnsi="Calibri" w:cs="Calibri"/>
          <w:shd w:val="clear" w:color="auto" w:fill="FFFFFF"/>
        </w:rPr>
        <w:t xml:space="preserve"> leaders have chosen Pathway Health for results that lead to improved quality, reimbursement</w:t>
      </w:r>
      <w:r>
        <w:rPr>
          <w:rFonts w:ascii="Calibri" w:hAnsi="Calibri" w:cs="Calibri"/>
          <w:shd w:val="clear" w:color="auto" w:fill="FFFFFF"/>
        </w:rPr>
        <w:t>,</w:t>
      </w:r>
      <w:r w:rsidRPr="0072211A">
        <w:rPr>
          <w:rFonts w:ascii="Calibri" w:hAnsi="Calibri" w:cs="Calibri"/>
          <w:shd w:val="clear" w:color="auto" w:fill="FFFFFF"/>
        </w:rPr>
        <w:t xml:space="preserve"> and clinical outcomes. You can be certain that Pathway Health has the resources and expertise to meet your needs. Our reliable, resourceful, respectful</w:t>
      </w:r>
      <w:r>
        <w:rPr>
          <w:rFonts w:ascii="Calibri" w:hAnsi="Calibri" w:cs="Calibri"/>
          <w:shd w:val="clear" w:color="auto" w:fill="FFFFFF"/>
        </w:rPr>
        <w:t>,</w:t>
      </w:r>
      <w:r w:rsidRPr="0072211A">
        <w:rPr>
          <w:rFonts w:ascii="Calibri" w:hAnsi="Calibri" w:cs="Calibri"/>
          <w:shd w:val="clear" w:color="auto" w:fill="FFFFFF"/>
        </w:rPr>
        <w:t xml:space="preserve"> and responsible team of experts represents all disciplines along the healthcare spectrum.</w:t>
      </w:r>
    </w:p>
    <w:p w14:paraId="12CFC37F" w14:textId="77777777" w:rsidR="0072211A" w:rsidRPr="0072211A" w:rsidRDefault="0072211A" w:rsidP="0072211A">
      <w:pPr>
        <w:rPr>
          <w:rFonts w:ascii="Calibri" w:hAnsi="Calibri" w:cs="Calibri"/>
        </w:rPr>
      </w:pPr>
    </w:p>
    <w:p w14:paraId="478B8F77" w14:textId="77777777" w:rsidR="0072211A" w:rsidRPr="0072211A" w:rsidRDefault="0072211A" w:rsidP="0072211A">
      <w:pPr>
        <w:rPr>
          <w:rFonts w:ascii="Calibri" w:hAnsi="Calibri" w:cs="Calibri"/>
        </w:rPr>
      </w:pPr>
      <w:r w:rsidRPr="0072211A">
        <w:rPr>
          <w:rFonts w:ascii="Calibri" w:hAnsi="Calibri" w:cs="Calibri"/>
        </w:rPr>
        <w:t>For additional resources and information on clinical reimbursement, interim, quality, education, or specialty services, please contact us at:</w:t>
      </w:r>
    </w:p>
    <w:p w14:paraId="500BA823" w14:textId="77777777" w:rsidR="0072211A" w:rsidRPr="0072211A" w:rsidRDefault="0072211A" w:rsidP="0072211A">
      <w:pPr>
        <w:jc w:val="center"/>
        <w:rPr>
          <w:rFonts w:ascii="Calibri" w:hAnsi="Calibri" w:cs="Calibri"/>
          <w:b/>
        </w:rPr>
      </w:pPr>
    </w:p>
    <w:p w14:paraId="6A3E33BC" w14:textId="77777777" w:rsidR="0072211A" w:rsidRPr="0072211A" w:rsidRDefault="0072211A" w:rsidP="0072211A">
      <w:pPr>
        <w:jc w:val="center"/>
        <w:rPr>
          <w:rFonts w:ascii="Calibri" w:hAnsi="Calibri" w:cs="Calibri"/>
          <w:b/>
        </w:rPr>
      </w:pPr>
    </w:p>
    <w:p w14:paraId="6F539826" w14:textId="77777777" w:rsidR="0072211A" w:rsidRPr="0072211A" w:rsidRDefault="0072211A" w:rsidP="0072211A">
      <w:pPr>
        <w:jc w:val="center"/>
        <w:rPr>
          <w:rFonts w:ascii="Calibri" w:hAnsi="Calibri" w:cs="Calibri"/>
          <w:b/>
        </w:rPr>
      </w:pPr>
      <w:r w:rsidRPr="0072211A">
        <w:rPr>
          <w:rFonts w:ascii="Calibri" w:hAnsi="Calibri" w:cs="Calibri"/>
          <w:b/>
        </w:rPr>
        <w:t>Pathway Health Services</w:t>
      </w:r>
    </w:p>
    <w:p w14:paraId="7500D65F" w14:textId="77777777" w:rsidR="0072211A" w:rsidRPr="0072211A" w:rsidRDefault="0072211A" w:rsidP="0072211A">
      <w:pPr>
        <w:jc w:val="center"/>
        <w:rPr>
          <w:rFonts w:ascii="Calibri" w:hAnsi="Calibri" w:cs="Calibri"/>
          <w:b/>
        </w:rPr>
      </w:pPr>
      <w:r w:rsidRPr="0072211A">
        <w:rPr>
          <w:rFonts w:ascii="Calibri" w:hAnsi="Calibri" w:cs="Calibri"/>
          <w:b/>
        </w:rPr>
        <w:t>1-877-777-5463</w:t>
      </w:r>
    </w:p>
    <w:p w14:paraId="3C2D025B" w14:textId="77777777" w:rsidR="0072211A" w:rsidRPr="0072211A" w:rsidRDefault="0072211A" w:rsidP="0072211A">
      <w:pPr>
        <w:jc w:val="center"/>
        <w:rPr>
          <w:rFonts w:ascii="Calibri" w:hAnsi="Calibri" w:cs="Calibri"/>
          <w:b/>
        </w:rPr>
      </w:pPr>
      <w:r w:rsidRPr="0072211A">
        <w:rPr>
          <w:rFonts w:ascii="Calibri" w:hAnsi="Calibri" w:cs="Calibri"/>
          <w:b/>
        </w:rPr>
        <w:t>consult@pathwayhealth.com</w:t>
      </w:r>
    </w:p>
    <w:p w14:paraId="25C0430A" w14:textId="77777777" w:rsidR="0072211A" w:rsidRPr="0072211A" w:rsidRDefault="0072211A" w:rsidP="0072211A">
      <w:pPr>
        <w:jc w:val="center"/>
        <w:rPr>
          <w:rFonts w:ascii="Calibri" w:hAnsi="Calibri" w:cs="Calibri"/>
          <w:b/>
        </w:rPr>
      </w:pPr>
      <w:hyperlink r:id="rId8" w:history="1">
        <w:r w:rsidRPr="0072211A">
          <w:rPr>
            <w:rStyle w:val="Hyperlink"/>
            <w:rFonts w:ascii="Calibri" w:hAnsi="Calibri" w:cs="Calibri"/>
          </w:rPr>
          <w:t>www.pathwayhealth.com</w:t>
        </w:r>
      </w:hyperlink>
    </w:p>
    <w:p w14:paraId="5BD89246" w14:textId="77777777" w:rsidR="0072211A" w:rsidRPr="0072211A" w:rsidRDefault="0072211A" w:rsidP="0072211A">
      <w:pPr>
        <w:pStyle w:val="NormalWeb"/>
        <w:spacing w:before="0" w:beforeAutospacing="0" w:after="0"/>
        <w:jc w:val="center"/>
        <w:rPr>
          <w:rFonts w:ascii="Calibri" w:hAnsi="Calibri" w:cs="Calibri"/>
          <w:b/>
          <w:i/>
        </w:rPr>
      </w:pPr>
    </w:p>
    <w:p w14:paraId="304E9A50" w14:textId="77777777" w:rsidR="0072211A" w:rsidRPr="0072211A" w:rsidRDefault="0072211A" w:rsidP="0072211A">
      <w:pPr>
        <w:pStyle w:val="NormalWeb"/>
        <w:spacing w:before="0" w:beforeAutospacing="0" w:after="0"/>
        <w:jc w:val="center"/>
        <w:rPr>
          <w:rFonts w:ascii="Calibri" w:hAnsi="Calibri" w:cs="Calibri"/>
          <w:b/>
          <w:sz w:val="20"/>
          <w:szCs w:val="20"/>
        </w:rPr>
      </w:pPr>
      <w:r w:rsidRPr="0072211A">
        <w:rPr>
          <w:rFonts w:ascii="Calibri" w:hAnsi="Calibri" w:cs="Calibri"/>
          <w:b/>
          <w:i/>
          <w:sz w:val="20"/>
          <w:szCs w:val="20"/>
        </w:rPr>
        <w:t>Pathway Health Services, Inc. and the purchaser, shall each indemnify and hold the other harmless from any claim or cause of action arising out of, or in connection with, the indemnifying party’s acts or omissions under this manual, including the acts of its agents and employees, and from any loss or expense or attorneys’ fees and court costs arising out of any claim or cause of action.</w:t>
      </w:r>
    </w:p>
    <w:p w14:paraId="1E7077C0" w14:textId="77777777" w:rsidR="0072211A" w:rsidRPr="0072211A" w:rsidRDefault="0072211A" w:rsidP="0072211A">
      <w:pPr>
        <w:pStyle w:val="NormalWeb"/>
        <w:spacing w:before="0" w:beforeAutospacing="0" w:after="0"/>
        <w:jc w:val="center"/>
        <w:rPr>
          <w:rFonts w:ascii="Calibri" w:hAnsi="Calibri" w:cs="Calibri"/>
          <w:b/>
          <w:i/>
        </w:rPr>
      </w:pPr>
    </w:p>
    <w:p w14:paraId="291ABB50" w14:textId="77777777" w:rsidR="00E92E76" w:rsidRDefault="00E92E76" w:rsidP="00870097">
      <w:pPr>
        <w:jc w:val="center"/>
        <w:rPr>
          <w:rFonts w:ascii="Calibri" w:hAnsi="Calibri" w:cs="Calibri"/>
          <w:b/>
          <w:sz w:val="28"/>
          <w:szCs w:val="28"/>
        </w:rPr>
      </w:pPr>
    </w:p>
    <w:p w14:paraId="27DD196C" w14:textId="77777777" w:rsidR="00E92E76" w:rsidRPr="007469F5" w:rsidRDefault="00E92E76" w:rsidP="007469F5">
      <w:pPr>
        <w:jc w:val="center"/>
        <w:rPr>
          <w:rFonts w:ascii="Calibri" w:hAnsi="Calibri" w:cs="Calibri"/>
          <w:b/>
          <w:sz w:val="32"/>
          <w:szCs w:val="32"/>
        </w:rPr>
      </w:pPr>
    </w:p>
    <w:p w14:paraId="31A4E642" w14:textId="43567825" w:rsidR="00EE6D21" w:rsidRPr="007469F5" w:rsidRDefault="007469F5" w:rsidP="007469F5">
      <w:pPr>
        <w:jc w:val="center"/>
        <w:rPr>
          <w:rFonts w:ascii="Calibri" w:hAnsi="Calibri" w:cs="Calibri"/>
          <w:b/>
          <w:sz w:val="32"/>
          <w:szCs w:val="32"/>
        </w:rPr>
      </w:pPr>
      <w:r w:rsidRPr="007469F5">
        <w:rPr>
          <w:rFonts w:ascii="Calibri" w:hAnsi="Calibri" w:cs="Calibri"/>
          <w:b/>
          <w:sz w:val="32"/>
          <w:szCs w:val="32"/>
        </w:rPr>
        <w:t xml:space="preserve">This Page is Left Intentionally Blank </w:t>
      </w:r>
      <w:r w:rsidR="00D53835" w:rsidRPr="007469F5">
        <w:rPr>
          <w:rFonts w:ascii="Calibri" w:hAnsi="Calibri" w:cs="Calibri"/>
          <w:b/>
          <w:sz w:val="32"/>
          <w:szCs w:val="32"/>
        </w:rPr>
        <w:t>for</w:t>
      </w:r>
      <w:r w:rsidRPr="007469F5">
        <w:rPr>
          <w:rFonts w:ascii="Calibri" w:hAnsi="Calibri" w:cs="Calibri"/>
          <w:b/>
          <w:sz w:val="32"/>
          <w:szCs w:val="32"/>
        </w:rPr>
        <w:t xml:space="preserve"> Printing</w:t>
      </w:r>
    </w:p>
    <w:sectPr w:rsidR="00EE6D21" w:rsidRPr="007469F5"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00857" w14:textId="77777777" w:rsidR="00457209" w:rsidRDefault="00457209" w:rsidP="00FE158D">
      <w:r>
        <w:separator/>
      </w:r>
    </w:p>
  </w:endnote>
  <w:endnote w:type="continuationSeparator" w:id="0">
    <w:p w14:paraId="00EDC33F" w14:textId="77777777" w:rsidR="00457209" w:rsidRDefault="00457209"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6C41F" w14:textId="77777777" w:rsidR="00457209" w:rsidRDefault="00457209" w:rsidP="00FE158D">
      <w:r>
        <w:separator/>
      </w:r>
    </w:p>
  </w:footnote>
  <w:footnote w:type="continuationSeparator" w:id="0">
    <w:p w14:paraId="657AE889" w14:textId="77777777" w:rsidR="00457209" w:rsidRDefault="00457209"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2"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13"/>
  </w:num>
  <w:num w:numId="2" w16cid:durableId="103622501">
    <w:abstractNumId w:val="23"/>
  </w:num>
  <w:num w:numId="3" w16cid:durableId="2107460121">
    <w:abstractNumId w:val="16"/>
  </w:num>
  <w:num w:numId="4" w16cid:durableId="315956492">
    <w:abstractNumId w:val="22"/>
  </w:num>
  <w:num w:numId="5" w16cid:durableId="2136409435">
    <w:abstractNumId w:val="9"/>
  </w:num>
  <w:num w:numId="6" w16cid:durableId="1357846870">
    <w:abstractNumId w:val="17"/>
  </w:num>
  <w:num w:numId="7" w16cid:durableId="398213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4"/>
  </w:num>
  <w:num w:numId="9" w16cid:durableId="497767428">
    <w:abstractNumId w:val="14"/>
  </w:num>
  <w:num w:numId="10" w16cid:durableId="61487259">
    <w:abstractNumId w:val="15"/>
  </w:num>
  <w:num w:numId="11" w16cid:durableId="726876866">
    <w:abstractNumId w:val="12"/>
  </w:num>
  <w:num w:numId="12" w16cid:durableId="1899897450">
    <w:abstractNumId w:val="20"/>
  </w:num>
  <w:num w:numId="13" w16cid:durableId="99108190">
    <w:abstractNumId w:val="7"/>
  </w:num>
  <w:num w:numId="14" w16cid:durableId="972635690">
    <w:abstractNumId w:val="6"/>
  </w:num>
  <w:num w:numId="15" w16cid:durableId="299266596">
    <w:abstractNumId w:val="5"/>
  </w:num>
  <w:num w:numId="16" w16cid:durableId="1957131368">
    <w:abstractNumId w:val="11"/>
  </w:num>
  <w:num w:numId="17" w16cid:durableId="2055233907">
    <w:abstractNumId w:val="25"/>
  </w:num>
  <w:num w:numId="18" w16cid:durableId="1101989952">
    <w:abstractNumId w:val="3"/>
  </w:num>
  <w:num w:numId="19" w16cid:durableId="850486595">
    <w:abstractNumId w:val="2"/>
  </w:num>
  <w:num w:numId="20" w16cid:durableId="1957902571">
    <w:abstractNumId w:val="18"/>
  </w:num>
  <w:num w:numId="21" w16cid:durableId="1507986864">
    <w:abstractNumId w:val="10"/>
  </w:num>
  <w:num w:numId="22" w16cid:durableId="2067411387">
    <w:abstractNumId w:val="1"/>
  </w:num>
  <w:num w:numId="23" w16cid:durableId="746804969">
    <w:abstractNumId w:val="24"/>
  </w:num>
  <w:num w:numId="24" w16cid:durableId="1516923498">
    <w:abstractNumId w:val="1"/>
  </w:num>
  <w:num w:numId="25" w16cid:durableId="52898067">
    <w:abstractNumId w:val="19"/>
  </w:num>
  <w:num w:numId="26" w16cid:durableId="162098906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A797D"/>
    <w:rsid w:val="001B251E"/>
    <w:rsid w:val="001C4461"/>
    <w:rsid w:val="001F110F"/>
    <w:rsid w:val="00211464"/>
    <w:rsid w:val="0021206A"/>
    <w:rsid w:val="00223F22"/>
    <w:rsid w:val="00234C60"/>
    <w:rsid w:val="002376A2"/>
    <w:rsid w:val="00284379"/>
    <w:rsid w:val="00287A2F"/>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C3FCE"/>
    <w:rsid w:val="003F0C77"/>
    <w:rsid w:val="00402197"/>
    <w:rsid w:val="00416F96"/>
    <w:rsid w:val="00457209"/>
    <w:rsid w:val="004613FA"/>
    <w:rsid w:val="00484844"/>
    <w:rsid w:val="004C0B1E"/>
    <w:rsid w:val="004C1FD8"/>
    <w:rsid w:val="004D2174"/>
    <w:rsid w:val="00513627"/>
    <w:rsid w:val="0051471B"/>
    <w:rsid w:val="0052598C"/>
    <w:rsid w:val="00527903"/>
    <w:rsid w:val="00534CAA"/>
    <w:rsid w:val="0053732B"/>
    <w:rsid w:val="0054293C"/>
    <w:rsid w:val="005438CB"/>
    <w:rsid w:val="005675AE"/>
    <w:rsid w:val="005817E5"/>
    <w:rsid w:val="00593E4B"/>
    <w:rsid w:val="005C356F"/>
    <w:rsid w:val="005E77E2"/>
    <w:rsid w:val="005F036A"/>
    <w:rsid w:val="006034EC"/>
    <w:rsid w:val="00603AC0"/>
    <w:rsid w:val="00605605"/>
    <w:rsid w:val="00610027"/>
    <w:rsid w:val="006338B1"/>
    <w:rsid w:val="0066706B"/>
    <w:rsid w:val="006A3CC2"/>
    <w:rsid w:val="006B2ED2"/>
    <w:rsid w:val="006C7A0C"/>
    <w:rsid w:val="0072211A"/>
    <w:rsid w:val="00724712"/>
    <w:rsid w:val="007251EF"/>
    <w:rsid w:val="00746482"/>
    <w:rsid w:val="007469F5"/>
    <w:rsid w:val="00757731"/>
    <w:rsid w:val="00783084"/>
    <w:rsid w:val="007A61F1"/>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66BB5"/>
    <w:rsid w:val="00E74D17"/>
    <w:rsid w:val="00E82843"/>
    <w:rsid w:val="00E92E76"/>
    <w:rsid w:val="00E94EC6"/>
    <w:rsid w:val="00EA648D"/>
    <w:rsid w:val="00EB0458"/>
    <w:rsid w:val="00ED328A"/>
    <w:rsid w:val="00ED6153"/>
    <w:rsid w:val="00EE0E87"/>
    <w:rsid w:val="00EE6D21"/>
    <w:rsid w:val="00EF0A00"/>
    <w:rsid w:val="00F008F6"/>
    <w:rsid w:val="00F5332B"/>
    <w:rsid w:val="00F56081"/>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wayhealt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277</Words>
  <Characters>1641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2024-06-28T23:37:00Z</dcterms:created>
  <dcterms:modified xsi:type="dcterms:W3CDTF">2024-06-28T23:37:00Z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